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</w:rPr>
      </w:pPr>
      <w:bookmarkStart w:id="0" w:name="_GoBack"/>
      <w:r>
        <w:rPr>
          <w:rFonts w:hint="eastAsia"/>
          <w:color w:val="auto"/>
        </w:rPr>
        <w:t>银行理财产品周报</w:t>
      </w:r>
    </w:p>
    <w:p>
      <w:pPr>
        <w:rPr>
          <w:color w:val="auto"/>
        </w:rPr>
      </w:pPr>
      <w:r>
        <w:rPr>
          <w:rFonts w:hint="eastAsia"/>
          <w:color w:val="auto"/>
        </w:rPr>
        <w:t>　　当周（2023年12月0日-2024年01月05日）全国各类型银行共发行理财产品458只，环比减少123只。当周发行固定收益类产品数量435只，较上周少发产品125只；当周发行混合类产品18只，较上周多发产品8只；当周发行权益类产品5只。从占比来看在所有不同类型产品中固定收益类产品占比达94.98%。</w:t>
      </w:r>
    </w:p>
    <w:p>
      <w:pPr>
        <w:rPr>
          <w:color w:val="auto"/>
        </w:rPr>
      </w:pPr>
      <w:r>
        <w:rPr>
          <w:rFonts w:hint="eastAsia"/>
          <w:color w:val="auto"/>
        </w:rPr>
        <w:t>　　在当周新发的435只固定收益类产品中，来自理财子公司的产品最多，为89只，相比上周减少73只。来自城商行的产品次之，为124只，环比减少21只。</w:t>
      </w:r>
    </w:p>
    <w:p>
      <w:pPr>
        <w:rPr>
          <w:color w:val="auto"/>
        </w:rPr>
      </w:pPr>
      <w:r>
        <w:rPr>
          <w:rFonts w:hint="eastAsia"/>
          <w:color w:val="auto"/>
        </w:rPr>
        <w:t>　　当周，在售的固收类净值产品中，3年以上期限产品的平均业绩基准均值最高，为3.70%；1-3个月产品的平均业绩比较基准均值最低，为2.59%。</w:t>
      </w:r>
    </w:p>
    <w:p>
      <w:pPr>
        <w:rPr>
          <w:color w:val="auto"/>
        </w:rPr>
      </w:pPr>
      <w:r>
        <w:rPr>
          <w:rFonts w:hint="eastAsia"/>
          <w:color w:val="auto"/>
        </w:rPr>
        <w:t>　　当周，净值数据有效的产品数量为14914万只，净值回落的数量为2603只，净值回落产品占比17.45%。当周产品破净比例最高的机构是理财子公司，破净比例达5.70%；破净比例次之的机构是外资银行，破净比例达4.25%。</w:t>
      </w:r>
    </w:p>
    <w:p>
      <w:pPr>
        <w:rPr>
          <w:color w:val="auto"/>
        </w:rPr>
      </w:pPr>
      <w:r>
        <w:rPr>
          <w:rFonts w:hint="eastAsia"/>
          <w:color w:val="auto"/>
        </w:rPr>
        <w:t>　　今年以来，固定收益类产品平均业绩表现居首；混合类产品平均业绩表现次之，累计收跌0.21%。当周，除固定收益类产品指数上涨0.05%外，其余各类产品指数均下跌，权益类产品指数下跌1.62%，混合类产品指数下跌0.21%，商品及金融衍生品类产品指数下跌1.77%。</w:t>
      </w:r>
    </w:p>
    <w:p>
      <w:pPr>
        <w:rPr>
          <w:color w:val="auto"/>
        </w:rPr>
      </w:pPr>
      <w:r>
        <w:rPr>
          <w:rFonts w:hint="eastAsia"/>
          <w:color w:val="auto"/>
        </w:rPr>
        <w:t>　　风险提示：历史数据不代表未来业绩,本报告涉及银行理财产品不构成投资建议,投资需谨慎；银行理财产品相关原始数据取自云通数科数据库,因统计口径差异,与市场上其他三方提供的数据可能存在差异；本报告涉及的上周数据以及环比数据,均以截至本次统计时点已完成更新的上周数据为基准。</w:t>
      </w:r>
    </w:p>
    <w:p>
      <w:pPr>
        <w:rPr>
          <w:color w:val="aut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A5"/>
    <w:rsid w:val="00410393"/>
    <w:rsid w:val="004C2E72"/>
    <w:rsid w:val="00533BF9"/>
    <w:rsid w:val="00A146D3"/>
    <w:rsid w:val="00C55812"/>
    <w:rsid w:val="00C90597"/>
    <w:rsid w:val="00D010E7"/>
    <w:rsid w:val="00D072CB"/>
    <w:rsid w:val="00F137A5"/>
    <w:rsid w:val="00FF1419"/>
    <w:rsid w:val="78CE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hAnsi="Times New Roman" w:eastAsia="SimHei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590</Characters>
  <Lines>4</Lines>
  <Paragraphs>1</Paragraphs>
  <TotalTime>2</TotalTime>
  <ScaleCrop>false</ScaleCrop>
  <LinksUpToDate>false</LinksUpToDate>
  <CharactersWithSpaces>692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2024-05-12T01:58:00Z</dcterms:created>
  <dc:creator>juber z_</dc:creator>
  <cp:lastModifiedBy>小灰灰</cp:lastModifiedBy>
  <dcterms:modified xsi:type="dcterms:W3CDTF">2024-07-10T10:47:22Z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9DC74AFF96AB721D3AF68D66C84E92FE_42</vt:lpwstr>
  </property>
</Properties>
</file>