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auto"/>
        </w:rPr>
      </w:pPr>
      <w:bookmarkStart w:id="0" w:name="_GoBack"/>
      <w:r>
        <w:rPr>
          <w:rFonts w:hint="eastAsia"/>
          <w:color w:val="auto"/>
        </w:rPr>
        <w:t>银行行业：金融支持住房租赁发展，有望成为新业务增长点</w:t>
      </w:r>
    </w:p>
    <w:p>
      <w:pPr>
        <w:rPr>
          <w:color w:val="auto"/>
        </w:rPr>
      </w:pPr>
      <w:r>
        <w:rPr>
          <w:rFonts w:hint="eastAsia"/>
          <w:color w:val="auto"/>
        </w:rPr>
        <w:t>　　周观点：</w:t>
      </w:r>
    </w:p>
    <w:p>
      <w:pPr>
        <w:rPr>
          <w:color w:val="auto"/>
        </w:rPr>
      </w:pPr>
      <w:r>
        <w:rPr>
          <w:rFonts w:hint="eastAsia"/>
          <w:color w:val="auto"/>
        </w:rPr>
        <w:t>　　PSL投放拉开帷幕，12月净增3500亿。本周央行公布，2023年12月国家开发银行、中国进出口银行、中国农业发展银行净新增抵押补充贷款3500亿元。近期央行行长潘功胜讲话中多次提及“为保障性住房等三大工程建设提供中长期低成本资金支持”，我们判断本轮PSL主要投放领域或为“三大工程”建设。</w:t>
      </w:r>
    </w:p>
    <w:p>
      <w:pPr>
        <w:rPr>
          <w:color w:val="auto"/>
        </w:rPr>
      </w:pPr>
      <w:r>
        <w:rPr>
          <w:rFonts w:hint="eastAsia"/>
          <w:color w:val="auto"/>
        </w:rPr>
        <w:t>　　“三大工程”之保障房政策持续推进，支持收购存量房作保障房。本周央行、国家金融监管总局发布《关于金融支持住房租赁市场发展的意见》，旨在建立健全住房租赁金融支持体系，加大住房租赁开发建设信贷支持力度，满足团体批量购买租赁住房的合理融资需求。主要内容有：（1）鼓励银行发放团体贷款支持企业收购存量房作为保障房：对于企业和符合条件的事业单位依法依规批量购买存量闲置房屋用作宿舍型保障性租赁住房，专业化规模化住房租赁企业依法依规批量购买存量闲置房屋用作保障性或商业性租赁住房长期持有运营的，鼓励商业银行在风险可控、商业可持续、严格不新增地方政府隐性债务的前提下，发放住房租赁团体购房贷款。（2）支持银行发行金融专项债：支持商业银行发行用于住房租赁的金融债券，筹集资金专门用于增加住房租赁开发建设贷款、团体购房贷款和经营性贷款的投放。（3）市场化定价：贷款利率由商业银行综合考虑借款人风险状况、风险缓释措施等因素合理确定。我们认为支持收购存量房作保障房，有助于行业去库存、保民生。对银行而言，住房租赁市场有望成为地产行业新的业务增长点。</w:t>
      </w:r>
    </w:p>
    <w:p>
      <w:pPr>
        <w:rPr>
          <w:color w:val="auto"/>
        </w:rPr>
      </w:pPr>
      <w:r>
        <w:rPr>
          <w:rFonts w:hint="eastAsia"/>
          <w:color w:val="auto"/>
        </w:rPr>
        <w:t>　　央行年度工作会议：优化信贷结构、增量均衡投放、存量提高使用效率，确保社融可持续较快增长。本周央行2024年工作会议在京召开。会议强调，综合运用多种货币政策工具，保持流动性合理充裕，促进社会融资规模、货币供应量同经济增长和价格水平预期目标相匹配。注重新增信贷均衡投放，提高存量资金使用效率，进一步优化信贷结构，确保社会融资规模全年可持续较快增长。价格上，兼顾内外均衡，持续深化利率市场化改革，促进社会综合融资成本稳中有降。保持人民币汇率在合理均衡水平上的基本稳定。</w:t>
      </w:r>
    </w:p>
    <w:p>
      <w:pPr>
        <w:rPr>
          <w:color w:val="auto"/>
        </w:rPr>
      </w:pPr>
      <w:r>
        <w:rPr>
          <w:rFonts w:hint="eastAsia"/>
          <w:color w:val="auto"/>
        </w:rPr>
        <w:t>　　投资建议：行业分化，优选两条主线。在政策持续发力而经济回暖持续性仍待观察的当下，我们基于短期行业基本面分化、长期政策支持大行、区域发展助力小行的判断，建议布局大小两端的银行，即高股息稳健国有大行和高成长优质区域小行。</w:t>
      </w:r>
    </w:p>
    <w:p>
      <w:pPr>
        <w:rPr>
          <w:color w:val="auto"/>
        </w:rPr>
      </w:pPr>
      <w:r>
        <w:rPr>
          <w:rFonts w:hint="eastAsia"/>
          <w:color w:val="auto"/>
        </w:rPr>
        <w:t>　　板块表现</w:t>
      </w:r>
    </w:p>
    <w:p>
      <w:pPr>
        <w:rPr>
          <w:color w:val="auto"/>
        </w:rPr>
      </w:pPr>
      <w:r>
        <w:rPr>
          <w:rFonts w:hint="eastAsia"/>
          <w:color w:val="auto"/>
        </w:rPr>
        <w:t>　　行情回顾：上周中信银行指数涨0.79%，跑赢沪深300指数3.77pct（沪深300指数跌2.97%），在各行业中排名第4。从细分板块来看，农商行、国有行、城商行分别上涨2.78%、2.52%、1.25%，股份行跌0.85%。个股方面，瑞丰银行（+10.30%）、中信银行（+7.18%）、华夏银行（+4.98%）、沪农商行（+4.01%）、渝农商行（+3.92%）涨幅居前，平安银行（-1.28%）、宁波银行（-3.03%）、兴业银行（-8.64%）跌幅居前。</w:t>
      </w:r>
    </w:p>
    <w:p>
      <w:pPr>
        <w:rPr>
          <w:color w:val="auto"/>
        </w:rPr>
      </w:pPr>
      <w:r>
        <w:rPr>
          <w:rFonts w:hint="eastAsia"/>
          <w:color w:val="auto"/>
        </w:rPr>
        <w:t>　　板块估值：截止1月5日，银行板块PB为0.53倍，处于近五年来的7.82%分位数。</w:t>
      </w:r>
    </w:p>
    <w:p>
      <w:pPr>
        <w:rPr>
          <w:color w:val="auto"/>
        </w:rPr>
      </w:pPr>
      <w:r>
        <w:rPr>
          <w:rFonts w:hint="eastAsia"/>
          <w:color w:val="auto"/>
        </w:rPr>
        <w:t>　　成交额：银行板块上周成交额为253.69万亿，占全部A股的3.36%，在各行业中排名第9。</w:t>
      </w:r>
    </w:p>
    <w:p>
      <w:pPr>
        <w:rPr>
          <w:color w:val="auto"/>
        </w:rPr>
      </w:pPr>
      <w:r>
        <w:rPr>
          <w:rFonts w:hint="eastAsia"/>
          <w:color w:val="auto"/>
        </w:rPr>
        <w:t>　　北向资金：上周北向资金净流入银行板块22.39亿，位居各行业首位。个股方面，30家净流入、12家净流出。流入规模居前的有农业银行（6.16亿）、工商银行（3.69亿）、交通银行（3.52亿）、中国银行（2.64亿）、宁波银行（1.41亿）。流出规模较大的有兴业银行（-2.42亿）、平安银行（-2.40亿）、招商银行（-0.86亿）、成都银行（-0.51亿）、瑞丰银行（-0.38亿）。</w:t>
      </w:r>
    </w:p>
    <w:p>
      <w:pPr>
        <w:rPr>
          <w:color w:val="auto"/>
        </w:rPr>
      </w:pPr>
      <w:r>
        <w:rPr>
          <w:rFonts w:hint="eastAsia"/>
          <w:color w:val="auto"/>
        </w:rPr>
        <w:t>　　流动性跟踪</w:t>
      </w:r>
    </w:p>
    <w:p>
      <w:pPr>
        <w:rPr>
          <w:color w:val="auto"/>
        </w:rPr>
      </w:pPr>
      <w:r>
        <w:rPr>
          <w:rFonts w:hint="eastAsia"/>
          <w:color w:val="auto"/>
        </w:rPr>
        <w:t>　　央行动态：1月0日-1月5日，央行逆回购投放2,410亿，到期26,640亿，累计净回笼24,230亿。</w:t>
      </w:r>
    </w:p>
    <w:p>
      <w:pPr>
        <w:rPr>
          <w:color w:val="auto"/>
        </w:rPr>
      </w:pPr>
      <w:r>
        <w:rPr>
          <w:rFonts w:hint="eastAsia"/>
          <w:color w:val="auto"/>
        </w:rPr>
        <w:t>　　利率跟踪：（1月5日vs12月29日）短端利率方面，DR001、DR007分别-7BP、-12BP至1.58%、1.78%。长端利率方面，10年期国债到期收益率、国开债到期收益率分别-4BP、+2BP至2.52%、2.70%。同业存单利率方面，1年期中债商业银行同业存单到期收益率(AAA)+4BP至2.44%。票据利率方面，3M、半年国股票据转贴现利率分别较上周+185BP、+94BP至2.25%、2.12%。</w:t>
      </w:r>
    </w:p>
    <w:p>
      <w:pPr>
        <w:rPr>
          <w:color w:val="auto"/>
        </w:rPr>
      </w:pPr>
      <w:r>
        <w:rPr>
          <w:rFonts w:hint="eastAsia"/>
          <w:color w:val="auto"/>
        </w:rPr>
        <w:t>　　行业要闻跟踪</w:t>
      </w:r>
    </w:p>
    <w:p>
      <w:pPr>
        <w:rPr>
          <w:color w:val="auto"/>
        </w:rPr>
      </w:pPr>
      <w:r>
        <w:rPr>
          <w:rFonts w:hint="eastAsia"/>
          <w:color w:val="auto"/>
        </w:rPr>
        <w:t>　　1央行：2024年工作会议-会议强调，注重新增信贷均衡投放，提高存量资金使用效率，进一步优化信贷结构，确保社会融资规模全年可持续较快增长。价格上，兼顾内外均衡，持续深化利率市场化改革，促进社会综合融资成本稳中有降。2023年12月抵押补充贷款开展情况-国家开发银行、中国进出口银行、中国农业发展银行三大政策性银行净新增抵押补充贷款（PSL）3500亿元，为PSL有史以来第三高，期末PSL余额为32522亿元。</w:t>
      </w:r>
    </w:p>
    <w:p>
      <w:pPr>
        <w:rPr>
          <w:color w:val="auto"/>
        </w:rPr>
      </w:pPr>
      <w:r>
        <w:rPr>
          <w:rFonts w:hint="eastAsia"/>
          <w:color w:val="auto"/>
        </w:rPr>
        <w:t>　　2国家金融监管总局：央行、国家金融监督管理总局发布关于金融支持住房租赁市场发展的意见。对于企业和符合条件的事业单位依法依规批量购买存量闲置房屋用作宿舍型保障性租赁住房，在满足条件的前提下发放住房租赁团体购房贷款等。优先支持雄安新区、海南自由贸易港、深圳中国特色社会主义先行示范区等国家政策重点支持区域以及人口净流入的大城市开展房地产投资信托基金试点。</w:t>
      </w:r>
    </w:p>
    <w:p>
      <w:pPr>
        <w:rPr>
          <w:color w:val="auto"/>
        </w:rPr>
      </w:pPr>
      <w:r>
        <w:rPr>
          <w:rFonts w:hint="eastAsia"/>
          <w:color w:val="auto"/>
        </w:rPr>
        <w:t>　　312月财新PMI：2023年12月财新中国制造业PMI为50.8，创四个月新高，高于11月0.1个百分点，连续两个月位于扩张区间。财新中国服务业PMI为52.9，环比上升1.4个百分点，创近五个月以来新高。</w:t>
      </w:r>
    </w:p>
    <w:p>
      <w:pPr>
        <w:rPr>
          <w:color w:val="auto"/>
        </w:rPr>
      </w:pPr>
      <w:r>
        <w:rPr>
          <w:rFonts w:hint="eastAsia"/>
          <w:color w:val="auto"/>
        </w:rPr>
        <w:t>　　个股动态跟踪</w:t>
      </w:r>
    </w:p>
    <w:p>
      <w:pPr>
        <w:rPr>
          <w:color w:val="auto"/>
        </w:rPr>
      </w:pPr>
      <w:r>
        <w:rPr>
          <w:rFonts w:hint="eastAsia"/>
          <w:color w:val="auto"/>
        </w:rPr>
        <w:t>　　1江阴银行：江南水务增持转债-截至2024年1月5日，江南水务公司通过深交所交易系统采取匹配成交、协商成交方式累计增持“江银转债”420.68万张，占“江银转债”发行总量的21.03%。董监高增持计划-部分董事、监事、高级管理人员及核心骨干人员拟通过深圳证券交易所交易系统增持本行股份，增持方式为购买可转换公司债券并进行转股或从二级市场集中竞价方式购买本行股票；共计不少于1000万元人民币不高于2000万元人民币。</w:t>
      </w:r>
    </w:p>
    <w:p>
      <w:pPr>
        <w:rPr>
          <w:color w:val="auto"/>
        </w:rPr>
      </w:pPr>
      <w:r>
        <w:rPr>
          <w:rFonts w:hint="eastAsia"/>
          <w:color w:val="auto"/>
        </w:rPr>
        <w:t>　　2瑞丰银行：增持嵊州瑞丰村镇银行股份完成，增持完成后累计持有嵊州瑞丰村镇银行9,150万股股份，持股比例为51.99%。</w:t>
      </w:r>
    </w:p>
    <w:p>
      <w:pPr>
        <w:rPr>
          <w:color w:val="auto"/>
        </w:rPr>
      </w:pPr>
      <w:r>
        <w:rPr>
          <w:rFonts w:hint="eastAsia"/>
          <w:color w:val="auto"/>
        </w:rPr>
        <w:t>　　风险提示：经济复苏、实体需求恢复不及预期，政策力度不及预期，资产质量大幅恶化</w:t>
      </w:r>
    </w:p>
    <w:p>
      <w:pPr>
        <w:rPr>
          <w:color w:val="auto"/>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SimHei">
    <w:altName w:val="汉仪中黑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D7"/>
    <w:rsid w:val="001545B8"/>
    <w:rsid w:val="00205FD7"/>
    <w:rsid w:val="009F7BFC"/>
    <w:rsid w:val="00A146D3"/>
    <w:rsid w:val="00D010E7"/>
    <w:rsid w:val="00D072CB"/>
    <w:rsid w:val="00DF4A9D"/>
    <w:rsid w:val="00FF1419"/>
    <w:rsid w:val="EEFFF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oc 1"/>
    <w:basedOn w:val="1"/>
    <w:next w:val="1"/>
    <w:unhideWhenUsed/>
    <w:qFormat/>
    <w:uiPriority w:val="39"/>
    <w:pPr>
      <w:widowControl/>
      <w:tabs>
        <w:tab w:val="right" w:leader="dot" w:pos="8296"/>
      </w:tabs>
      <w:adjustRightInd w:val="0"/>
      <w:snapToGrid w:val="0"/>
      <w:spacing w:line="360" w:lineRule="auto"/>
      <w:jc w:val="left"/>
    </w:pPr>
    <w:rPr>
      <w:rFonts w:ascii="Times New Roman" w:hAnsi="Times New Roman" w:eastAsia="SimHei" w:cs="Times New Roman"/>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391</Words>
  <Characters>2230</Characters>
  <Lines>18</Lines>
  <Paragraphs>5</Paragraphs>
  <TotalTime>1</TotalTime>
  <ScaleCrop>false</ScaleCrop>
  <LinksUpToDate>false</LinksUpToDate>
  <CharactersWithSpaces>2616</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2024-05-12T02:09:00Z</dcterms:created>
  <dc:creator>juber z_</dc:creator>
  <cp:lastModifiedBy>小灰灰</cp:lastModifiedBy>
  <dcterms:modified xsi:type="dcterms:W3CDTF">2024-07-10T10:47:31Z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9E02327705A1A5E443F68D66D69A54C2_42</vt:lpwstr>
  </property>
</Properties>
</file>