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1F3A52"/>
          <w:sz w:val="40"/>
          <w:szCs w:val="40"/>
        </w:rPr>
        <w:t xml:space="preserve">MEDICARE BENEFITS SCHEDULE</w:t>
      </w:r>
    </w:p>
    <w:p>
      <w:pPr>
        <w:spacing w:after="200"/>
      </w:pPr>
      <w:r>
        <w:rPr>
          <w:rFonts w:ascii="Calibri" w:cs="Calibri" w:eastAsia="Calibri" w:hAnsi="Calibri"/>
          <w:color w:val="3F6C8A"/>
          <w:sz w:val="26"/>
          <w:szCs w:val="26"/>
        </w:rPr>
        <w:t xml:space="preserve">Maternity, Midwifery &amp; Nurse Practitioner Item Reference</w:t>
      </w:r>
    </w:p>
    <w:p>
      <w:pPr>
        <w:pBdr>
          <w:bottom w:val="single" w:color="1F3A52" w:sz="12" w:space="6"/>
        </w:pBdr>
        <w:spacing w:after="60"/>
      </w:pPr>
      <w:r>
        <w:rPr>
          <w:sz w:val="4"/>
          <w:szCs w:val="4"/>
        </w:rPr>
        <w:t xml:space="preserve"/>
      </w:r>
    </w:p>
    <w:p>
      <w:pPr>
        <w:spacing w:after="180"/>
      </w:pPr>
    </w:p>
    <w:p>
      <w:pPr>
        <w:spacing w:after="160" w:line="276"/>
      </w:pPr>
      <w:r>
        <w:rPr>
          <w:rFonts w:ascii="Calibri" w:cs="Calibri" w:eastAsia="Calibri" w:hAnsi="Calibri"/>
          <w:color w:val="1A1A1A"/>
          <w:sz w:val="21"/>
          <w:szCs w:val="21"/>
        </w:rPr>
        <w:t xml:space="preserve">Compiled from MBS Online (health.gov.au) item pages. Fees shown are Schedule Fees last updated 01 Jul 2026. This reference covers three distinct billing models spanning obstetric, nurse practitioner, and midwifery care across the antenatal, intrapartum, and postnatal phases of pregnancy.</w:t>
      </w:r>
    </w:p>
    <w:p>
      <w:pPr>
        <w:spacing w:after="260"/>
      </w:pPr>
    </w:p>
    <w:p>
      <w:pPr>
        <w:pStyle w:val="Heading1"/>
        <w:pBdr>
          <w:bottom w:val="single" w:color="1F3A52" w:sz="8" w:space="4"/>
        </w:pBdr>
        <w:spacing w:after="200" w:before="480"/>
      </w:pPr>
      <w:r>
        <w:rPr>
          <w:rFonts w:ascii="Calibri" w:cs="Calibri" w:eastAsia="Calibri" w:hAnsi="Calibri"/>
          <w:b/>
          <w:bCs/>
          <w:color w:val="1F3A52"/>
          <w:sz w:val="30"/>
          <w:szCs w:val="30"/>
        </w:rPr>
        <w:t xml:space="preserve">Part 1 — Obstetric Attendance Items (Doctor / GP model)</w:t>
      </w:r>
    </w:p>
    <w:p>
      <w:pPr>
        <w:spacing w:after="160" w:line="276"/>
      </w:pPr>
      <w:r>
        <w:rPr>
          <w:rFonts w:ascii="Calibri" w:cs="Calibri" w:eastAsia="Calibri" w:hAnsi="Calibri"/>
          <w:color w:val="1A1A1A"/>
          <w:sz w:val="21"/>
          <w:szCs w:val="21"/>
        </w:rPr>
        <w:t xml:space="preserve">Category 3 — Therapeutic Procedures, Group T4 — Obstetrics. These items are billed to the doctor. All three carry a common mental health assessment requirement (note TN.4.13) that can be delegated to another suitably qualified health professional acting on the doctor's behalf.</w:t>
      </w:r>
    </w:p>
    <w:tbl>
      <w:tblPr>
        <w:tblW w:type="dxa" w:w="9700"/>
        <w:tblBorders>
          <w:top w:val="single" w:color="C7D3D9" w:sz="4"/>
          <w:left w:val="single" w:color="C7D3D9" w:sz="4"/>
          <w:bottom w:val="single" w:color="C7D3D9" w:sz="4"/>
          <w:right w:val="single" w:color="C7D3D9" w:sz="4"/>
          <w:insideH w:val="single" w:color="C7D3D9" w:sz="4"/>
          <w:insideV w:val="single" w:color="C7D3D9" w:sz="4"/>
        </w:tblBorders>
      </w:tblPr>
      <w:tblGrid>
        <w:gridCol w:w="900"/>
        <w:gridCol w:w="3900"/>
        <w:gridCol w:w="1500"/>
        <w:gridCol w:w="1900"/>
        <w:gridCol w:w="1500"/>
      </w:tblGrid>
      <w:tr>
        <w:trPr>
          <w:tblHeader/>
        </w:trPr>
        <w:tc>
          <w:tcPr>
            <w:tcW w:type="dxa" w:w="900"/>
            <w:shd w:fill="1F3A52" w:color="auto" w:val="clear"/>
            <w:tcMar>
              <w:top w:type="dxa" w:w="90"/>
              <w:left w:type="dxa" w:w="110"/>
              <w:bottom w:type="dxa" w:w="90"/>
              <w:right w:type="dxa" w:w="110"/>
            </w:tcMar>
            <w:vAlign w:val="center"/>
          </w:tcPr>
          <w:p>
            <w:pPr>
              <w:jc w:val="left"/>
            </w:pPr>
            <w:r>
              <w:rPr>
                <w:rFonts w:ascii="Calibri" w:cs="Calibri" w:eastAsia="Calibri" w:hAnsi="Calibri"/>
                <w:b/>
                <w:bCs/>
                <w:i w:val="false"/>
                <w:iCs w:val="false"/>
                <w:color w:val="FFFFFF"/>
                <w:sz w:val="19"/>
                <w:szCs w:val="19"/>
              </w:rPr>
              <w:t xml:space="preserve">Item</w:t>
            </w:r>
          </w:p>
        </w:tc>
        <w:tc>
          <w:tcPr>
            <w:tcW w:type="dxa" w:w="3900"/>
            <w:shd w:fill="1F3A52" w:color="auto" w:val="clear"/>
            <w:tcMar>
              <w:top w:type="dxa" w:w="90"/>
              <w:left w:type="dxa" w:w="110"/>
              <w:bottom w:type="dxa" w:w="90"/>
              <w:right w:type="dxa" w:w="110"/>
            </w:tcMar>
            <w:vAlign w:val="center"/>
          </w:tcPr>
          <w:p>
            <w:pPr>
              <w:jc w:val="left"/>
            </w:pPr>
            <w:r>
              <w:rPr>
                <w:rFonts w:ascii="Calibri" w:cs="Calibri" w:eastAsia="Calibri" w:hAnsi="Calibri"/>
                <w:b/>
                <w:bCs/>
                <w:i w:val="false"/>
                <w:iCs w:val="false"/>
                <w:color w:val="FFFFFF"/>
                <w:sz w:val="19"/>
                <w:szCs w:val="19"/>
              </w:rPr>
              <w:t xml:space="preserve">Description</w:t>
            </w:r>
          </w:p>
        </w:tc>
        <w:tc>
          <w:tcPr>
            <w:tcW w:type="dxa" w:w="1500"/>
            <w:shd w:fill="1F3A52" w:color="auto" w:val="clear"/>
            <w:tcMar>
              <w:top w:type="dxa" w:w="90"/>
              <w:left w:type="dxa" w:w="110"/>
              <w:bottom w:type="dxa" w:w="90"/>
              <w:right w:type="dxa" w:w="110"/>
            </w:tcMar>
            <w:vAlign w:val="center"/>
          </w:tcPr>
          <w:p>
            <w:pPr>
              <w:jc w:val="left"/>
            </w:pPr>
            <w:r>
              <w:rPr>
                <w:rFonts w:ascii="Calibri" w:cs="Calibri" w:eastAsia="Calibri" w:hAnsi="Calibri"/>
                <w:b/>
                <w:bCs/>
                <w:i w:val="false"/>
                <w:iCs w:val="false"/>
                <w:color w:val="FFFFFF"/>
                <w:sz w:val="19"/>
                <w:szCs w:val="19"/>
              </w:rPr>
              <w:t xml:space="preserve">Fee (AUD)</w:t>
            </w:r>
          </w:p>
        </w:tc>
        <w:tc>
          <w:tcPr>
            <w:tcW w:type="dxa" w:w="1900"/>
            <w:shd w:fill="1F3A52" w:color="auto" w:val="clear"/>
            <w:tcMar>
              <w:top w:type="dxa" w:w="90"/>
              <w:left w:type="dxa" w:w="110"/>
              <w:bottom w:type="dxa" w:w="90"/>
              <w:right w:type="dxa" w:w="110"/>
            </w:tcMar>
            <w:vAlign w:val="center"/>
          </w:tcPr>
          <w:p>
            <w:pPr>
              <w:jc w:val="left"/>
            </w:pPr>
            <w:r>
              <w:rPr>
                <w:rFonts w:ascii="Calibri" w:cs="Calibri" w:eastAsia="Calibri" w:hAnsi="Calibri"/>
                <w:b/>
                <w:bCs/>
                <w:i w:val="false"/>
                <w:iCs w:val="false"/>
                <w:color w:val="FFFFFF"/>
                <w:sz w:val="19"/>
                <w:szCs w:val="19"/>
              </w:rPr>
              <w:t xml:space="preserve">Benefit</w:t>
            </w:r>
          </w:p>
        </w:tc>
        <w:tc>
          <w:tcPr>
            <w:tcW w:type="dxa" w:w="1500"/>
            <w:shd w:fill="1F3A52" w:color="auto" w:val="clear"/>
            <w:tcMar>
              <w:top w:type="dxa" w:w="90"/>
              <w:left w:type="dxa" w:w="110"/>
              <w:bottom w:type="dxa" w:w="90"/>
              <w:right w:type="dxa" w:w="110"/>
            </w:tcMar>
            <w:vAlign w:val="center"/>
          </w:tcPr>
          <w:p>
            <w:pPr>
              <w:jc w:val="left"/>
            </w:pPr>
            <w:r>
              <w:rPr>
                <w:rFonts w:ascii="Calibri" w:cs="Calibri" w:eastAsia="Calibri" w:hAnsi="Calibri"/>
                <w:b/>
                <w:bCs/>
                <w:i w:val="false"/>
                <w:iCs w:val="false"/>
                <w:color w:val="FFFFFF"/>
                <w:sz w:val="19"/>
                <w:szCs w:val="19"/>
              </w:rPr>
              <w:t xml:space="preserve">EMSN cap</w:t>
            </w:r>
          </w:p>
        </w:tc>
      </w:tr>
      <w:tr>
        <w:tc>
          <w:tcPr>
            <w:tcW w:type="dxa" w:w="900"/>
            <w:shd w:fill="EAF1F5" w:color="auto" w:val="clear"/>
            <w:tcMar>
              <w:top w:type="dxa" w:w="90"/>
              <w:left w:type="dxa" w:w="110"/>
              <w:bottom w:type="dxa" w:w="90"/>
              <w:right w:type="dxa" w:w="110"/>
            </w:tcMar>
            <w:vAlign w:val="center"/>
          </w:tcPr>
          <w:p>
            <w:pPr>
              <w:jc w:val="left"/>
            </w:pPr>
            <w:r>
              <w:rPr>
                <w:rFonts w:ascii="Calibri" w:cs="Calibri" w:eastAsia="Calibri" w:hAnsi="Calibri"/>
                <w:b w:val="false"/>
                <w:bCs w:val="false"/>
                <w:i w:val="false"/>
                <w:iCs w:val="false"/>
                <w:color w:val="1A1A1A"/>
                <w:sz w:val="19"/>
                <w:szCs w:val="19"/>
              </w:rPr>
              <w:t xml:space="preserve">16590</w:t>
            </w:r>
          </w:p>
        </w:tc>
        <w:tc>
          <w:tcPr>
            <w:tcW w:type="dxa" w:w="3900"/>
            <w:shd w:fill="EAF1F5" w:color="auto" w:val="clear"/>
            <w:tcMar>
              <w:top w:type="dxa" w:w="90"/>
              <w:left w:type="dxa" w:w="110"/>
              <w:bottom w:type="dxa" w:w="90"/>
              <w:right w:type="dxa" w:w="110"/>
            </w:tcMar>
            <w:vAlign w:val="center"/>
          </w:tcPr>
          <w:p>
            <w:pPr>
              <w:jc w:val="left"/>
            </w:pPr>
            <w:r>
              <w:rPr>
                <w:rFonts w:ascii="Calibri" w:cs="Calibri" w:eastAsia="Calibri" w:hAnsi="Calibri"/>
                <w:b w:val="false"/>
                <w:bCs w:val="false"/>
                <w:i w:val="false"/>
                <w:iCs w:val="false"/>
                <w:color w:val="1A1A1A"/>
                <w:sz w:val="19"/>
                <w:szCs w:val="19"/>
              </w:rPr>
              <w:t xml:space="preserve">Antenatal planning &amp; management — practitioner takes primary responsibility for the birth; patient privately admitted; &gt;28wks gestation; maternity privileges required. Once per pregnancy. Mutually exclusive with 16591.</w:t>
            </w:r>
          </w:p>
        </w:tc>
        <w:tc>
          <w:tcPr>
            <w:tcW w:type="dxa" w:w="1500"/>
            <w:shd w:fill="EAF1F5" w:color="auto" w:val="clear"/>
            <w:tcMar>
              <w:top w:type="dxa" w:w="90"/>
              <w:left w:type="dxa" w:w="110"/>
              <w:bottom w:type="dxa" w:w="90"/>
              <w:right w:type="dxa" w:w="110"/>
            </w:tcMar>
            <w:vAlign w:val="center"/>
          </w:tcPr>
          <w:p>
            <w:pPr>
              <w:jc w:val="left"/>
            </w:pPr>
            <w:r>
              <w:rPr>
                <w:rFonts w:ascii="Calibri" w:cs="Calibri" w:eastAsia="Calibri" w:hAnsi="Calibri"/>
                <w:b w:val="false"/>
                <w:bCs w:val="false"/>
                <w:i w:val="false"/>
                <w:iCs w:val="false"/>
                <w:color w:val="1A1A1A"/>
                <w:sz w:val="19"/>
                <w:szCs w:val="19"/>
              </w:rPr>
              <w:t xml:space="preserve">$446.15</w:t>
            </w:r>
          </w:p>
        </w:tc>
        <w:tc>
          <w:tcPr>
            <w:tcW w:type="dxa" w:w="1900"/>
            <w:shd w:fill="EAF1F5" w:color="auto" w:val="clear"/>
            <w:tcMar>
              <w:top w:type="dxa" w:w="90"/>
              <w:left w:type="dxa" w:w="110"/>
              <w:bottom w:type="dxa" w:w="90"/>
              <w:right w:type="dxa" w:w="110"/>
            </w:tcMar>
            <w:vAlign w:val="center"/>
          </w:tcPr>
          <w:p>
            <w:pPr>
              <w:jc w:val="left"/>
            </w:pPr>
            <w:r>
              <w:rPr>
                <w:rFonts w:ascii="Calibri" w:cs="Calibri" w:eastAsia="Calibri" w:hAnsi="Calibri"/>
                <w:b w:val="false"/>
                <w:bCs w:val="false"/>
                <w:i w:val="false"/>
                <w:iCs w:val="false"/>
                <w:color w:val="1A1A1A"/>
                <w:sz w:val="19"/>
                <w:szCs w:val="19"/>
              </w:rPr>
              <w:t xml:space="preserve">75% = $334.65</w:t>
            </w:r>
            <w:r>
              <w:rPr>
                <w:rFonts w:ascii="Calibri" w:cs="Calibri" w:eastAsia="Calibri" w:hAnsi="Calibri"/>
                <w:sz w:val="19"/>
                <w:szCs w:val="19"/>
              </w:rPr>
              <w:br/>
              <w:t xml:space="preserve"/>
            </w:r>
            <w:r>
              <w:rPr>
                <w:rFonts w:ascii="Calibri" w:cs="Calibri" w:eastAsia="Calibri" w:hAnsi="Calibri"/>
                <w:b w:val="false"/>
                <w:bCs w:val="false"/>
                <w:i w:val="false"/>
                <w:iCs w:val="false"/>
                <w:color w:val="1A1A1A"/>
                <w:sz w:val="19"/>
                <w:szCs w:val="19"/>
              </w:rPr>
              <w:t xml:space="preserve">85% = $379.25</w:t>
            </w:r>
          </w:p>
        </w:tc>
        <w:tc>
          <w:tcPr>
            <w:tcW w:type="dxa" w:w="1500"/>
            <w:shd w:fill="EAF1F5" w:color="auto" w:val="clear"/>
            <w:tcMar>
              <w:top w:type="dxa" w:w="90"/>
              <w:left w:type="dxa" w:w="110"/>
              <w:bottom w:type="dxa" w:w="90"/>
              <w:right w:type="dxa" w:w="110"/>
            </w:tcMar>
            <w:vAlign w:val="center"/>
          </w:tcPr>
          <w:p>
            <w:pPr>
              <w:jc w:val="left"/>
            </w:pPr>
            <w:r>
              <w:rPr>
                <w:rFonts w:ascii="Calibri" w:cs="Calibri" w:eastAsia="Calibri" w:hAnsi="Calibri"/>
                <w:b w:val="false"/>
                <w:bCs w:val="false"/>
                <w:i w:val="false"/>
                <w:iCs w:val="false"/>
                <w:color w:val="1A1A1A"/>
                <w:sz w:val="19"/>
                <w:szCs w:val="19"/>
              </w:rPr>
              <w:t xml:space="preserve">$277.20</w:t>
            </w:r>
          </w:p>
        </w:tc>
      </w:tr>
      <w:tr>
        <w:tc>
          <w:tcPr>
            <w:tcW w:type="dxa" w:w="900"/>
            <w:tcMar>
              <w:top w:type="dxa" w:w="90"/>
              <w:left w:type="dxa" w:w="110"/>
              <w:bottom w:type="dxa" w:w="90"/>
              <w:right w:type="dxa" w:w="110"/>
            </w:tcMar>
            <w:vAlign w:val="center"/>
          </w:tcPr>
          <w:p>
            <w:pPr>
              <w:jc w:val="left"/>
            </w:pPr>
            <w:r>
              <w:rPr>
                <w:rFonts w:ascii="Calibri" w:cs="Calibri" w:eastAsia="Calibri" w:hAnsi="Calibri"/>
                <w:b w:val="false"/>
                <w:bCs w:val="false"/>
                <w:i w:val="false"/>
                <w:iCs w:val="false"/>
                <w:color w:val="1A1A1A"/>
                <w:sz w:val="19"/>
                <w:szCs w:val="19"/>
              </w:rPr>
              <w:t xml:space="preserve">16591</w:t>
            </w:r>
          </w:p>
        </w:tc>
        <w:tc>
          <w:tcPr>
            <w:tcW w:type="dxa" w:w="3900"/>
            <w:tcMar>
              <w:top w:type="dxa" w:w="90"/>
              <w:left w:type="dxa" w:w="110"/>
              <w:bottom w:type="dxa" w:w="90"/>
              <w:right w:type="dxa" w:w="110"/>
            </w:tcMar>
            <w:vAlign w:val="center"/>
          </w:tcPr>
          <w:p>
            <w:pPr>
              <w:jc w:val="left"/>
            </w:pPr>
            <w:r>
              <w:rPr>
                <w:rFonts w:ascii="Calibri" w:cs="Calibri" w:eastAsia="Calibri" w:hAnsi="Calibri"/>
                <w:b w:val="false"/>
                <w:bCs w:val="false"/>
                <w:i w:val="false"/>
                <w:iCs w:val="false"/>
                <w:color w:val="1A1A1A"/>
                <w:sz w:val="19"/>
                <w:szCs w:val="19"/>
              </w:rPr>
              <w:t xml:space="preserve">Antenatal planning &amp; management — shared antenatal care, practitioner not undertaking the birth; &gt;28wks gestation. Once per pregnancy. Mutually exclusive with 16590.</w:t>
            </w:r>
          </w:p>
        </w:tc>
        <w:tc>
          <w:tcPr>
            <w:tcW w:type="dxa" w:w="1500"/>
            <w:tcMar>
              <w:top w:type="dxa" w:w="90"/>
              <w:left w:type="dxa" w:w="110"/>
              <w:bottom w:type="dxa" w:w="90"/>
              <w:right w:type="dxa" w:w="110"/>
            </w:tcMar>
            <w:vAlign w:val="center"/>
          </w:tcPr>
          <w:p>
            <w:pPr>
              <w:jc w:val="left"/>
            </w:pPr>
            <w:r>
              <w:rPr>
                <w:rFonts w:ascii="Calibri" w:cs="Calibri" w:eastAsia="Calibri" w:hAnsi="Calibri"/>
                <w:b w:val="false"/>
                <w:bCs w:val="false"/>
                <w:i w:val="false"/>
                <w:iCs w:val="false"/>
                <w:color w:val="1A1A1A"/>
                <w:sz w:val="19"/>
                <w:szCs w:val="19"/>
              </w:rPr>
              <w:t xml:space="preserve">$170.75</w:t>
            </w:r>
          </w:p>
        </w:tc>
        <w:tc>
          <w:tcPr>
            <w:tcW w:type="dxa" w:w="1900"/>
            <w:tcMar>
              <w:top w:type="dxa" w:w="90"/>
              <w:left w:type="dxa" w:w="110"/>
              <w:bottom w:type="dxa" w:w="90"/>
              <w:right w:type="dxa" w:w="110"/>
            </w:tcMar>
            <w:vAlign w:val="center"/>
          </w:tcPr>
          <w:p>
            <w:pPr>
              <w:jc w:val="left"/>
            </w:pPr>
            <w:r>
              <w:rPr>
                <w:rFonts w:ascii="Calibri" w:cs="Calibri" w:eastAsia="Calibri" w:hAnsi="Calibri"/>
                <w:b w:val="false"/>
                <w:bCs w:val="false"/>
                <w:i w:val="false"/>
                <w:iCs w:val="false"/>
                <w:color w:val="1A1A1A"/>
                <w:sz w:val="19"/>
                <w:szCs w:val="19"/>
              </w:rPr>
              <w:t xml:space="preserve">75% = $128.10</w:t>
            </w:r>
            <w:r>
              <w:rPr>
                <w:rFonts w:ascii="Calibri" w:cs="Calibri" w:eastAsia="Calibri" w:hAnsi="Calibri"/>
                <w:sz w:val="19"/>
                <w:szCs w:val="19"/>
              </w:rPr>
              <w:br/>
              <w:t xml:space="preserve"/>
            </w:r>
            <w:r>
              <w:rPr>
                <w:rFonts w:ascii="Calibri" w:cs="Calibri" w:eastAsia="Calibri" w:hAnsi="Calibri"/>
                <w:b w:val="false"/>
                <w:bCs w:val="false"/>
                <w:i w:val="false"/>
                <w:iCs w:val="false"/>
                <w:color w:val="1A1A1A"/>
                <w:sz w:val="19"/>
                <w:szCs w:val="19"/>
              </w:rPr>
              <w:t xml:space="preserve">85% = $145.15</w:t>
            </w:r>
          </w:p>
        </w:tc>
        <w:tc>
          <w:tcPr>
            <w:tcW w:type="dxa" w:w="1500"/>
            <w:tcMar>
              <w:top w:type="dxa" w:w="90"/>
              <w:left w:type="dxa" w:w="110"/>
              <w:bottom w:type="dxa" w:w="90"/>
              <w:right w:type="dxa" w:w="110"/>
            </w:tcMar>
            <w:vAlign w:val="center"/>
          </w:tcPr>
          <w:p>
            <w:pPr>
              <w:jc w:val="left"/>
            </w:pPr>
            <w:r>
              <w:rPr>
                <w:rFonts w:ascii="Calibri" w:cs="Calibri" w:eastAsia="Calibri" w:hAnsi="Calibri"/>
                <w:b w:val="false"/>
                <w:bCs w:val="false"/>
                <w:i w:val="false"/>
                <w:iCs w:val="false"/>
                <w:color w:val="1A1A1A"/>
                <w:sz w:val="19"/>
                <w:szCs w:val="19"/>
              </w:rPr>
              <w:t xml:space="preserve">$138.40</w:t>
            </w:r>
          </w:p>
        </w:tc>
      </w:tr>
      <w:tr>
        <w:tc>
          <w:tcPr>
            <w:tcW w:type="dxa" w:w="900"/>
            <w:shd w:fill="EAF1F5" w:color="auto" w:val="clear"/>
            <w:tcMar>
              <w:top w:type="dxa" w:w="90"/>
              <w:left w:type="dxa" w:w="110"/>
              <w:bottom w:type="dxa" w:w="90"/>
              <w:right w:type="dxa" w:w="110"/>
            </w:tcMar>
            <w:vAlign w:val="center"/>
          </w:tcPr>
          <w:p>
            <w:pPr>
              <w:jc w:val="left"/>
            </w:pPr>
            <w:r>
              <w:rPr>
                <w:rFonts w:ascii="Calibri" w:cs="Calibri" w:eastAsia="Calibri" w:hAnsi="Calibri"/>
                <w:b w:val="false"/>
                <w:bCs w:val="false"/>
                <w:i w:val="false"/>
                <w:iCs w:val="false"/>
                <w:color w:val="1A1A1A"/>
                <w:sz w:val="19"/>
                <w:szCs w:val="19"/>
              </w:rPr>
              <w:t xml:space="preserve">16407</w:t>
            </w:r>
          </w:p>
        </w:tc>
        <w:tc>
          <w:tcPr>
            <w:tcW w:type="dxa" w:w="3900"/>
            <w:shd w:fill="EAF1F5" w:color="auto" w:val="clear"/>
            <w:tcMar>
              <w:top w:type="dxa" w:w="90"/>
              <w:left w:type="dxa" w:w="110"/>
              <w:bottom w:type="dxa" w:w="90"/>
              <w:right w:type="dxa" w:w="110"/>
            </w:tcMar>
            <w:vAlign w:val="center"/>
          </w:tcPr>
          <w:p>
            <w:pPr>
              <w:jc w:val="left"/>
            </w:pPr>
            <w:r>
              <w:rPr>
                <w:rFonts w:ascii="Calibri" w:cs="Calibri" w:eastAsia="Calibri" w:hAnsi="Calibri"/>
                <w:b w:val="false"/>
                <w:bCs w:val="false"/>
                <w:i w:val="false"/>
                <w:iCs w:val="false"/>
                <w:color w:val="1A1A1A"/>
                <w:sz w:val="19"/>
                <w:szCs w:val="19"/>
              </w:rPr>
              <w:t xml:space="preserve">Postnatal attendance, in hospital or consulting rooms, 4–8wks post-birth, ≥20min. Includes mental health assessment. Once per pregnancy. Not payable if 82140 provided.</w:t>
            </w:r>
          </w:p>
        </w:tc>
        <w:tc>
          <w:tcPr>
            <w:tcW w:type="dxa" w:w="1500"/>
            <w:shd w:fill="EAF1F5" w:color="auto" w:val="clear"/>
            <w:tcMar>
              <w:top w:type="dxa" w:w="90"/>
              <w:left w:type="dxa" w:w="110"/>
              <w:bottom w:type="dxa" w:w="90"/>
              <w:right w:type="dxa" w:w="110"/>
            </w:tcMar>
            <w:vAlign w:val="center"/>
          </w:tcPr>
          <w:p>
            <w:pPr>
              <w:jc w:val="left"/>
            </w:pPr>
            <w:r>
              <w:rPr>
                <w:rFonts w:ascii="Calibri" w:cs="Calibri" w:eastAsia="Calibri" w:hAnsi="Calibri"/>
                <w:b w:val="false"/>
                <w:bCs w:val="false"/>
                <w:i w:val="false"/>
                <w:iCs w:val="false"/>
                <w:color w:val="1A1A1A"/>
                <w:sz w:val="19"/>
                <w:szCs w:val="19"/>
              </w:rPr>
              <w:t xml:space="preserve">$85.80</w:t>
            </w:r>
          </w:p>
        </w:tc>
        <w:tc>
          <w:tcPr>
            <w:tcW w:type="dxa" w:w="1900"/>
            <w:shd w:fill="EAF1F5" w:color="auto" w:val="clear"/>
            <w:tcMar>
              <w:top w:type="dxa" w:w="90"/>
              <w:left w:type="dxa" w:w="110"/>
              <w:bottom w:type="dxa" w:w="90"/>
              <w:right w:type="dxa" w:w="110"/>
            </w:tcMar>
            <w:vAlign w:val="center"/>
          </w:tcPr>
          <w:p>
            <w:pPr>
              <w:jc w:val="left"/>
            </w:pPr>
            <w:r>
              <w:rPr>
                <w:rFonts w:ascii="Calibri" w:cs="Calibri" w:eastAsia="Calibri" w:hAnsi="Calibri"/>
                <w:b w:val="false"/>
                <w:bCs w:val="false"/>
                <w:i w:val="false"/>
                <w:iCs w:val="false"/>
                <w:color w:val="1A1A1A"/>
                <w:sz w:val="19"/>
                <w:szCs w:val="19"/>
              </w:rPr>
              <w:t xml:space="preserve">75% = $64.35</w:t>
            </w:r>
            <w:r>
              <w:rPr>
                <w:rFonts w:ascii="Calibri" w:cs="Calibri" w:eastAsia="Calibri" w:hAnsi="Calibri"/>
                <w:sz w:val="19"/>
                <w:szCs w:val="19"/>
              </w:rPr>
              <w:br/>
              <w:t xml:space="preserve"/>
            </w:r>
            <w:r>
              <w:rPr>
                <w:rFonts w:ascii="Calibri" w:cs="Calibri" w:eastAsia="Calibri" w:hAnsi="Calibri"/>
                <w:b w:val="false"/>
                <w:bCs w:val="false"/>
                <w:i w:val="false"/>
                <w:iCs w:val="false"/>
                <w:color w:val="1A1A1A"/>
                <w:sz w:val="19"/>
                <w:szCs w:val="19"/>
              </w:rPr>
              <w:t xml:space="preserve">85% = $72.95</w:t>
            </w:r>
          </w:p>
        </w:tc>
        <w:tc>
          <w:tcPr>
            <w:tcW w:type="dxa" w:w="1500"/>
            <w:shd w:fill="EAF1F5" w:color="auto" w:val="clear"/>
            <w:tcMar>
              <w:top w:type="dxa" w:w="90"/>
              <w:left w:type="dxa" w:w="110"/>
              <w:bottom w:type="dxa" w:w="90"/>
              <w:right w:type="dxa" w:w="110"/>
            </w:tcMar>
            <w:vAlign w:val="center"/>
          </w:tcPr>
          <w:p>
            <w:pPr>
              <w:jc w:val="left"/>
            </w:pPr>
            <w:r>
              <w:rPr>
                <w:rFonts w:ascii="Calibri" w:cs="Calibri" w:eastAsia="Calibri" w:hAnsi="Calibri"/>
                <w:b w:val="false"/>
                <w:bCs w:val="false"/>
                <w:i w:val="false"/>
                <w:iCs w:val="false"/>
                <w:color w:val="1A1A1A"/>
                <w:sz w:val="19"/>
                <w:szCs w:val="19"/>
              </w:rPr>
              <w:t xml:space="preserve">$55.80</w:t>
            </w:r>
          </w:p>
        </w:tc>
      </w:tr>
    </w:tbl>
    <w:p>
      <w:pPr>
        <w:spacing w:after="220"/>
      </w:pPr>
    </w:p>
    <w:p>
      <w:pPr>
        <w:pStyle w:val="Heading3"/>
        <w:spacing w:after="100" w:before="240"/>
      </w:pPr>
      <w:r>
        <w:rPr>
          <w:rFonts w:ascii="Calibri" w:cs="Calibri" w:eastAsia="Calibri" w:hAnsi="Calibri"/>
          <w:b/>
          <w:bCs/>
          <w:color w:val="1A1A1A"/>
          <w:sz w:val="21"/>
          <w:szCs w:val="21"/>
        </w:rPr>
        <w:t xml:space="preserve">Telehealth equivalents (note TN.4.15)</w:t>
      </w:r>
    </w:p>
    <w:p>
      <w:pPr>
        <w:spacing w:after="160" w:line="276"/>
      </w:pPr>
      <w:r>
        <w:rPr>
          <w:rFonts w:ascii="Calibri" w:cs="Calibri" w:eastAsia="Calibri" w:hAnsi="Calibri"/>
          <w:color w:val="1A1A1A"/>
          <w:sz w:val="21"/>
          <w:szCs w:val="21"/>
        </w:rPr>
        <w:t xml:space="preserve">MBS telehealth (video and phone) attendance items for obstetricians, GPs, midwives, nurses, and Aboriginal and Torres Strait Islander health practitioners, from 13 March 2020. Video is the preferred substitute for face-to-face; phone items apply when video is unavailable. Services do not apply to admitted patients.</w:t>
      </w:r>
    </w:p>
    <w:tbl>
      <w:tblPr>
        <w:tblW w:type="dxa" w:w="9700"/>
        <w:tblBorders>
          <w:top w:val="single" w:color="C7D3D9" w:sz="4"/>
          <w:left w:val="single" w:color="C7D3D9" w:sz="4"/>
          <w:bottom w:val="single" w:color="C7D3D9" w:sz="4"/>
          <w:right w:val="single" w:color="C7D3D9" w:sz="4"/>
          <w:insideH w:val="single" w:color="C7D3D9" w:sz="4"/>
          <w:insideV w:val="single" w:color="C7D3D9" w:sz="4"/>
        </w:tblBorders>
      </w:tblPr>
      <w:tblGrid>
        <w:gridCol w:w="4200"/>
        <w:gridCol w:w="1830"/>
        <w:gridCol w:w="1830"/>
        <w:gridCol w:w="1840"/>
      </w:tblGrid>
      <w:tr>
        <w:trPr>
          <w:tblHeader/>
        </w:trPr>
        <w:tc>
          <w:tcPr>
            <w:tcW w:type="dxa" w:w="4200"/>
            <w:shd w:fill="1F3A52" w:color="auto" w:val="clear"/>
            <w:tcMar>
              <w:top w:type="dxa" w:w="90"/>
              <w:left w:type="dxa" w:w="110"/>
              <w:bottom w:type="dxa" w:w="90"/>
              <w:right w:type="dxa" w:w="110"/>
            </w:tcMar>
            <w:vAlign w:val="center"/>
          </w:tcPr>
          <w:p>
            <w:pPr>
              <w:jc w:val="left"/>
            </w:pPr>
            <w:r>
              <w:rPr>
                <w:rFonts w:ascii="Calibri" w:cs="Calibri" w:eastAsia="Calibri" w:hAnsi="Calibri"/>
                <w:b/>
                <w:bCs/>
                <w:i w:val="false"/>
                <w:iCs w:val="false"/>
                <w:color w:val="FFFFFF"/>
                <w:sz w:val="19"/>
                <w:szCs w:val="19"/>
              </w:rPr>
              <w:t xml:space="preserve">Service</w:t>
            </w:r>
          </w:p>
        </w:tc>
        <w:tc>
          <w:tcPr>
            <w:tcW w:type="dxa" w:w="1830"/>
            <w:shd w:fill="1F3A52" w:color="auto" w:val="clear"/>
            <w:tcMar>
              <w:top w:type="dxa" w:w="90"/>
              <w:left w:type="dxa" w:w="110"/>
              <w:bottom w:type="dxa" w:w="90"/>
              <w:right w:type="dxa" w:w="110"/>
            </w:tcMar>
            <w:vAlign w:val="center"/>
          </w:tcPr>
          <w:p>
            <w:pPr>
              <w:jc w:val="left"/>
            </w:pPr>
            <w:r>
              <w:rPr>
                <w:rFonts w:ascii="Calibri" w:cs="Calibri" w:eastAsia="Calibri" w:hAnsi="Calibri"/>
                <w:b/>
                <w:bCs/>
                <w:i w:val="false"/>
                <w:iCs w:val="false"/>
                <w:color w:val="FFFFFF"/>
                <w:sz w:val="19"/>
                <w:szCs w:val="19"/>
              </w:rPr>
              <w:t xml:space="preserve">Face-to-face</w:t>
            </w:r>
          </w:p>
        </w:tc>
        <w:tc>
          <w:tcPr>
            <w:tcW w:type="dxa" w:w="1830"/>
            <w:shd w:fill="1F3A52" w:color="auto" w:val="clear"/>
            <w:tcMar>
              <w:top w:type="dxa" w:w="90"/>
              <w:left w:type="dxa" w:w="110"/>
              <w:bottom w:type="dxa" w:w="90"/>
              <w:right w:type="dxa" w:w="110"/>
            </w:tcMar>
            <w:vAlign w:val="center"/>
          </w:tcPr>
          <w:p>
            <w:pPr>
              <w:jc w:val="left"/>
            </w:pPr>
            <w:r>
              <w:rPr>
                <w:rFonts w:ascii="Calibri" w:cs="Calibri" w:eastAsia="Calibri" w:hAnsi="Calibri"/>
                <w:b/>
                <w:bCs/>
                <w:i w:val="false"/>
                <w:iCs w:val="false"/>
                <w:color w:val="FFFFFF"/>
                <w:sz w:val="19"/>
                <w:szCs w:val="19"/>
              </w:rPr>
              <w:t xml:space="preserve">Video</w:t>
            </w:r>
          </w:p>
        </w:tc>
        <w:tc>
          <w:tcPr>
            <w:tcW w:type="dxa" w:w="1840"/>
            <w:shd w:fill="1F3A52" w:color="auto" w:val="clear"/>
            <w:tcMar>
              <w:top w:type="dxa" w:w="90"/>
              <w:left w:type="dxa" w:w="110"/>
              <w:bottom w:type="dxa" w:w="90"/>
              <w:right w:type="dxa" w:w="110"/>
            </w:tcMar>
            <w:vAlign w:val="center"/>
          </w:tcPr>
          <w:p>
            <w:pPr>
              <w:jc w:val="left"/>
            </w:pPr>
            <w:r>
              <w:rPr>
                <w:rFonts w:ascii="Calibri" w:cs="Calibri" w:eastAsia="Calibri" w:hAnsi="Calibri"/>
                <w:b/>
                <w:bCs/>
                <w:i w:val="false"/>
                <w:iCs w:val="false"/>
                <w:color w:val="FFFFFF"/>
                <w:sz w:val="19"/>
                <w:szCs w:val="19"/>
              </w:rPr>
              <w:t xml:space="preserve">Phone</w:t>
            </w:r>
          </w:p>
        </w:tc>
      </w:tr>
      <w:tr>
        <w:tc>
          <w:tcPr>
            <w:tcW w:type="dxa" w:w="4200"/>
            <w:shd w:fill="EAF1F5" w:color="auto" w:val="clear"/>
            <w:tcMar>
              <w:top w:type="dxa" w:w="90"/>
              <w:left w:type="dxa" w:w="110"/>
              <w:bottom w:type="dxa" w:w="90"/>
              <w:right w:type="dxa" w:w="110"/>
            </w:tcMar>
            <w:vAlign w:val="center"/>
          </w:tcPr>
          <w:p>
            <w:pPr>
              <w:jc w:val="left"/>
            </w:pPr>
            <w:r>
              <w:rPr>
                <w:rFonts w:ascii="Calibri" w:cs="Calibri" w:eastAsia="Calibri" w:hAnsi="Calibri"/>
                <w:b w:val="false"/>
                <w:bCs w:val="false"/>
                <w:i w:val="false"/>
                <w:iCs w:val="false"/>
                <w:color w:val="1A1A1A"/>
                <w:sz w:val="19"/>
                <w:szCs w:val="19"/>
              </w:rPr>
              <w:t xml:space="preserve">Antenatal service — nurse, midwife or ATSI health practitioner on behalf of, and under supervision of, the medical practitioner</w:t>
            </w:r>
          </w:p>
        </w:tc>
        <w:tc>
          <w:tcPr>
            <w:tcW w:type="dxa" w:w="1830"/>
            <w:shd w:fill="EAF1F5" w:color="auto" w:val="clear"/>
            <w:tcMar>
              <w:top w:type="dxa" w:w="90"/>
              <w:left w:type="dxa" w:w="110"/>
              <w:bottom w:type="dxa" w:w="90"/>
              <w:right w:type="dxa" w:w="110"/>
            </w:tcMar>
            <w:vAlign w:val="center"/>
          </w:tcPr>
          <w:p>
            <w:pPr>
              <w:jc w:val="left"/>
            </w:pPr>
            <w:r>
              <w:rPr>
                <w:rFonts w:ascii="Calibri" w:cs="Calibri" w:eastAsia="Calibri" w:hAnsi="Calibri"/>
                <w:b w:val="false"/>
                <w:bCs w:val="false"/>
                <w:i w:val="false"/>
                <w:iCs w:val="false"/>
                <w:color w:val="1A1A1A"/>
                <w:sz w:val="19"/>
                <w:szCs w:val="19"/>
              </w:rPr>
              <w:t xml:space="preserve">16400</w:t>
            </w:r>
          </w:p>
        </w:tc>
        <w:tc>
          <w:tcPr>
            <w:tcW w:type="dxa" w:w="1830"/>
            <w:shd w:fill="EAF1F5" w:color="auto" w:val="clear"/>
            <w:tcMar>
              <w:top w:type="dxa" w:w="90"/>
              <w:left w:type="dxa" w:w="110"/>
              <w:bottom w:type="dxa" w:w="90"/>
              <w:right w:type="dxa" w:w="110"/>
            </w:tcMar>
            <w:vAlign w:val="center"/>
          </w:tcPr>
          <w:p>
            <w:pPr>
              <w:jc w:val="left"/>
            </w:pPr>
            <w:r>
              <w:rPr>
                <w:rFonts w:ascii="Calibri" w:cs="Calibri" w:eastAsia="Calibri" w:hAnsi="Calibri"/>
                <w:b w:val="false"/>
                <w:bCs w:val="false"/>
                <w:i w:val="false"/>
                <w:iCs w:val="false"/>
                <w:color w:val="1A1A1A"/>
                <w:sz w:val="19"/>
                <w:szCs w:val="19"/>
              </w:rPr>
              <w:t xml:space="preserve">91850</w:t>
            </w:r>
          </w:p>
        </w:tc>
        <w:tc>
          <w:tcPr>
            <w:tcW w:type="dxa" w:w="1840"/>
            <w:shd w:fill="EAF1F5" w:color="auto" w:val="clear"/>
            <w:tcMar>
              <w:top w:type="dxa" w:w="90"/>
              <w:left w:type="dxa" w:w="110"/>
              <w:bottom w:type="dxa" w:w="90"/>
              <w:right w:type="dxa" w:w="110"/>
            </w:tcMar>
            <w:vAlign w:val="center"/>
          </w:tcPr>
          <w:p>
            <w:pPr>
              <w:jc w:val="left"/>
            </w:pPr>
            <w:r>
              <w:rPr>
                <w:rFonts w:ascii="Calibri" w:cs="Calibri" w:eastAsia="Calibri" w:hAnsi="Calibri"/>
                <w:b w:val="false"/>
                <w:bCs w:val="false"/>
                <w:i w:val="false"/>
                <w:iCs w:val="false"/>
                <w:color w:val="1A1A1A"/>
                <w:sz w:val="19"/>
                <w:szCs w:val="19"/>
              </w:rPr>
              <w:t xml:space="preserve">91855</w:t>
            </w:r>
          </w:p>
        </w:tc>
      </w:tr>
      <w:tr>
        <w:tc>
          <w:tcPr>
            <w:tcW w:type="dxa" w:w="4200"/>
            <w:tcMar>
              <w:top w:type="dxa" w:w="90"/>
              <w:left w:type="dxa" w:w="110"/>
              <w:bottom w:type="dxa" w:w="90"/>
              <w:right w:type="dxa" w:w="110"/>
            </w:tcMar>
            <w:vAlign w:val="center"/>
          </w:tcPr>
          <w:p>
            <w:pPr>
              <w:jc w:val="left"/>
            </w:pPr>
            <w:r>
              <w:rPr>
                <w:rFonts w:ascii="Calibri" w:cs="Calibri" w:eastAsia="Calibri" w:hAnsi="Calibri"/>
                <w:b w:val="false"/>
                <w:bCs w:val="false"/>
                <w:i w:val="false"/>
                <w:iCs w:val="false"/>
                <w:color w:val="1A1A1A"/>
                <w:sz w:val="19"/>
                <w:szCs w:val="19"/>
              </w:rPr>
              <w:t xml:space="preserve">Postnatal attendance — obstetrician or GP</w:t>
            </w:r>
          </w:p>
        </w:tc>
        <w:tc>
          <w:tcPr>
            <w:tcW w:type="dxa" w:w="1830"/>
            <w:tcMar>
              <w:top w:type="dxa" w:w="90"/>
              <w:left w:type="dxa" w:w="110"/>
              <w:bottom w:type="dxa" w:w="90"/>
              <w:right w:type="dxa" w:w="110"/>
            </w:tcMar>
            <w:vAlign w:val="center"/>
          </w:tcPr>
          <w:p>
            <w:pPr>
              <w:jc w:val="left"/>
            </w:pPr>
            <w:r>
              <w:rPr>
                <w:rFonts w:ascii="Calibri" w:cs="Calibri" w:eastAsia="Calibri" w:hAnsi="Calibri"/>
                <w:b w:val="false"/>
                <w:bCs w:val="false"/>
                <w:i w:val="false"/>
                <w:iCs w:val="false"/>
                <w:color w:val="1A1A1A"/>
                <w:sz w:val="19"/>
                <w:szCs w:val="19"/>
              </w:rPr>
              <w:t xml:space="preserve">16407</w:t>
            </w:r>
          </w:p>
        </w:tc>
        <w:tc>
          <w:tcPr>
            <w:tcW w:type="dxa" w:w="1830"/>
            <w:tcMar>
              <w:top w:type="dxa" w:w="90"/>
              <w:left w:type="dxa" w:w="110"/>
              <w:bottom w:type="dxa" w:w="90"/>
              <w:right w:type="dxa" w:w="110"/>
            </w:tcMar>
            <w:vAlign w:val="center"/>
          </w:tcPr>
          <w:p>
            <w:pPr>
              <w:jc w:val="left"/>
            </w:pPr>
            <w:r>
              <w:rPr>
                <w:rFonts w:ascii="Calibri" w:cs="Calibri" w:eastAsia="Calibri" w:hAnsi="Calibri"/>
                <w:b w:val="false"/>
                <w:bCs w:val="false"/>
                <w:i w:val="false"/>
                <w:iCs w:val="false"/>
                <w:color w:val="1A1A1A"/>
                <w:sz w:val="19"/>
                <w:szCs w:val="19"/>
              </w:rPr>
              <w:t xml:space="preserve">91851</w:t>
            </w:r>
          </w:p>
        </w:tc>
        <w:tc>
          <w:tcPr>
            <w:tcW w:type="dxa" w:w="1840"/>
            <w:tcMar>
              <w:top w:type="dxa" w:w="90"/>
              <w:left w:type="dxa" w:w="110"/>
              <w:bottom w:type="dxa" w:w="90"/>
              <w:right w:type="dxa" w:w="110"/>
            </w:tcMar>
            <w:vAlign w:val="center"/>
          </w:tcPr>
          <w:p>
            <w:pPr>
              <w:jc w:val="left"/>
            </w:pPr>
            <w:r>
              <w:rPr>
                <w:rFonts w:ascii="Calibri" w:cs="Calibri" w:eastAsia="Calibri" w:hAnsi="Calibri"/>
                <w:b w:val="false"/>
                <w:bCs w:val="false"/>
                <w:i w:val="false"/>
                <w:iCs w:val="false"/>
                <w:color w:val="1A1A1A"/>
                <w:sz w:val="19"/>
                <w:szCs w:val="19"/>
              </w:rPr>
              <w:t xml:space="preserve">91856</w:t>
            </w:r>
          </w:p>
        </w:tc>
      </w:tr>
      <w:tr>
        <w:tc>
          <w:tcPr>
            <w:tcW w:type="dxa" w:w="4200"/>
            <w:shd w:fill="EAF1F5" w:color="auto" w:val="clear"/>
            <w:tcMar>
              <w:top w:type="dxa" w:w="90"/>
              <w:left w:type="dxa" w:w="110"/>
              <w:bottom w:type="dxa" w:w="90"/>
              <w:right w:type="dxa" w:w="110"/>
            </w:tcMar>
            <w:vAlign w:val="center"/>
          </w:tcPr>
          <w:p>
            <w:pPr>
              <w:jc w:val="left"/>
            </w:pPr>
            <w:r>
              <w:rPr>
                <w:rFonts w:ascii="Calibri" w:cs="Calibri" w:eastAsia="Calibri" w:hAnsi="Calibri"/>
                <w:b w:val="false"/>
                <w:bCs w:val="false"/>
                <w:i w:val="false"/>
                <w:iCs w:val="false"/>
                <w:color w:val="1A1A1A"/>
                <w:sz w:val="19"/>
                <w:szCs w:val="19"/>
              </w:rPr>
              <w:t xml:space="preserve">Postnatal attendance — midwife (on behalf of/under supervision of the medical practitioner who attended the birth), obstetrician, or GP</w:t>
            </w:r>
          </w:p>
        </w:tc>
        <w:tc>
          <w:tcPr>
            <w:tcW w:type="dxa" w:w="1830"/>
            <w:shd w:fill="EAF1F5" w:color="auto" w:val="clear"/>
            <w:tcMar>
              <w:top w:type="dxa" w:w="90"/>
              <w:left w:type="dxa" w:w="110"/>
              <w:bottom w:type="dxa" w:w="90"/>
              <w:right w:type="dxa" w:w="110"/>
            </w:tcMar>
            <w:vAlign w:val="center"/>
          </w:tcPr>
          <w:p>
            <w:pPr>
              <w:jc w:val="left"/>
            </w:pPr>
            <w:r>
              <w:rPr>
                <w:rFonts w:ascii="Calibri" w:cs="Calibri" w:eastAsia="Calibri" w:hAnsi="Calibri"/>
                <w:b w:val="false"/>
                <w:bCs w:val="false"/>
                <w:i w:val="false"/>
                <w:iCs w:val="false"/>
                <w:color w:val="1A1A1A"/>
                <w:sz w:val="19"/>
                <w:szCs w:val="19"/>
              </w:rPr>
              <w:t xml:space="preserve">16408</w:t>
            </w:r>
          </w:p>
        </w:tc>
        <w:tc>
          <w:tcPr>
            <w:tcW w:type="dxa" w:w="1830"/>
            <w:shd w:fill="EAF1F5" w:color="auto" w:val="clear"/>
            <w:tcMar>
              <w:top w:type="dxa" w:w="90"/>
              <w:left w:type="dxa" w:w="110"/>
              <w:bottom w:type="dxa" w:w="90"/>
              <w:right w:type="dxa" w:w="110"/>
            </w:tcMar>
            <w:vAlign w:val="center"/>
          </w:tcPr>
          <w:p>
            <w:pPr>
              <w:jc w:val="left"/>
            </w:pPr>
            <w:r>
              <w:rPr>
                <w:rFonts w:ascii="Calibri" w:cs="Calibri" w:eastAsia="Calibri" w:hAnsi="Calibri"/>
                <w:b w:val="false"/>
                <w:bCs w:val="false"/>
                <w:i w:val="false"/>
                <w:iCs w:val="false"/>
                <w:color w:val="1A1A1A"/>
                <w:sz w:val="19"/>
                <w:szCs w:val="19"/>
              </w:rPr>
              <w:t xml:space="preserve">91852</w:t>
            </w:r>
          </w:p>
        </w:tc>
        <w:tc>
          <w:tcPr>
            <w:tcW w:type="dxa" w:w="1840"/>
            <w:shd w:fill="EAF1F5" w:color="auto" w:val="clear"/>
            <w:tcMar>
              <w:top w:type="dxa" w:w="90"/>
              <w:left w:type="dxa" w:w="110"/>
              <w:bottom w:type="dxa" w:w="90"/>
              <w:right w:type="dxa" w:w="110"/>
            </w:tcMar>
            <w:vAlign w:val="center"/>
          </w:tcPr>
          <w:p>
            <w:pPr>
              <w:jc w:val="left"/>
            </w:pPr>
            <w:r>
              <w:rPr>
                <w:rFonts w:ascii="Calibri" w:cs="Calibri" w:eastAsia="Calibri" w:hAnsi="Calibri"/>
                <w:b w:val="false"/>
                <w:bCs w:val="false"/>
                <w:i w:val="false"/>
                <w:iCs w:val="false"/>
                <w:color w:val="1A1A1A"/>
                <w:sz w:val="19"/>
                <w:szCs w:val="19"/>
              </w:rPr>
              <w:t xml:space="preserve">91857</w:t>
            </w:r>
          </w:p>
        </w:tc>
      </w:tr>
      <w:tr>
        <w:tc>
          <w:tcPr>
            <w:tcW w:type="dxa" w:w="4200"/>
            <w:tcMar>
              <w:top w:type="dxa" w:w="90"/>
              <w:left w:type="dxa" w:w="110"/>
              <w:bottom w:type="dxa" w:w="90"/>
              <w:right w:type="dxa" w:w="110"/>
            </w:tcMar>
            <w:vAlign w:val="center"/>
          </w:tcPr>
          <w:p>
            <w:pPr>
              <w:jc w:val="left"/>
            </w:pPr>
            <w:r>
              <w:rPr>
                <w:rFonts w:ascii="Calibri" w:cs="Calibri" w:eastAsia="Calibri" w:hAnsi="Calibri"/>
                <w:b w:val="false"/>
                <w:bCs w:val="false"/>
                <w:i w:val="false"/>
                <w:iCs w:val="false"/>
                <w:color w:val="1A1A1A"/>
                <w:sz w:val="19"/>
                <w:szCs w:val="19"/>
              </w:rPr>
              <w:t xml:space="preserve">Antenatal attendance</w:t>
            </w:r>
          </w:p>
        </w:tc>
        <w:tc>
          <w:tcPr>
            <w:tcW w:type="dxa" w:w="1830"/>
            <w:tcMar>
              <w:top w:type="dxa" w:w="90"/>
              <w:left w:type="dxa" w:w="110"/>
              <w:bottom w:type="dxa" w:w="90"/>
              <w:right w:type="dxa" w:w="110"/>
            </w:tcMar>
            <w:vAlign w:val="center"/>
          </w:tcPr>
          <w:p>
            <w:pPr>
              <w:jc w:val="left"/>
            </w:pPr>
            <w:r>
              <w:rPr>
                <w:rFonts w:ascii="Calibri" w:cs="Calibri" w:eastAsia="Calibri" w:hAnsi="Calibri"/>
                <w:b w:val="false"/>
                <w:bCs w:val="false"/>
                <w:i w:val="false"/>
                <w:iCs w:val="false"/>
                <w:color w:val="1A1A1A"/>
                <w:sz w:val="19"/>
                <w:szCs w:val="19"/>
              </w:rPr>
              <w:t xml:space="preserve">16500</w:t>
            </w:r>
          </w:p>
        </w:tc>
        <w:tc>
          <w:tcPr>
            <w:tcW w:type="dxa" w:w="1830"/>
            <w:tcMar>
              <w:top w:type="dxa" w:w="90"/>
              <w:left w:type="dxa" w:w="110"/>
              <w:bottom w:type="dxa" w:w="90"/>
              <w:right w:type="dxa" w:w="110"/>
            </w:tcMar>
            <w:vAlign w:val="center"/>
          </w:tcPr>
          <w:p>
            <w:pPr>
              <w:jc w:val="left"/>
            </w:pPr>
            <w:r>
              <w:rPr>
                <w:rFonts w:ascii="Calibri" w:cs="Calibri" w:eastAsia="Calibri" w:hAnsi="Calibri"/>
                <w:b w:val="false"/>
                <w:bCs w:val="false"/>
                <w:i w:val="false"/>
                <w:iCs w:val="false"/>
                <w:color w:val="1A1A1A"/>
                <w:sz w:val="19"/>
                <w:szCs w:val="19"/>
              </w:rPr>
              <w:t xml:space="preserve">91853</w:t>
            </w:r>
          </w:p>
        </w:tc>
        <w:tc>
          <w:tcPr>
            <w:tcW w:type="dxa" w:w="1840"/>
            <w:tcMar>
              <w:top w:type="dxa" w:w="90"/>
              <w:left w:type="dxa" w:w="110"/>
              <w:bottom w:type="dxa" w:w="90"/>
              <w:right w:type="dxa" w:w="110"/>
            </w:tcMar>
            <w:vAlign w:val="center"/>
          </w:tcPr>
          <w:p>
            <w:pPr>
              <w:jc w:val="left"/>
            </w:pPr>
            <w:r>
              <w:rPr>
                <w:rFonts w:ascii="Calibri" w:cs="Calibri" w:eastAsia="Calibri" w:hAnsi="Calibri"/>
                <w:b w:val="false"/>
                <w:bCs w:val="false"/>
                <w:i w:val="false"/>
                <w:iCs w:val="false"/>
                <w:color w:val="1A1A1A"/>
                <w:sz w:val="19"/>
                <w:szCs w:val="19"/>
              </w:rPr>
              <w:t xml:space="preserve">91858</w:t>
            </w:r>
          </w:p>
        </w:tc>
      </w:tr>
    </w:tbl>
    <w:p>
      <w:pPr>
        <w:spacing w:after="220"/>
      </w:pPr>
    </w:p>
    <w:p>
      <w:pPr>
        <w:pStyle w:val="Heading3"/>
        <w:spacing w:after="100" w:before="240"/>
      </w:pPr>
      <w:r>
        <w:rPr>
          <w:rFonts w:ascii="Calibri" w:cs="Calibri" w:eastAsia="Calibri" w:hAnsi="Calibri"/>
          <w:b/>
          <w:bCs/>
          <w:color w:val="1A1A1A"/>
          <w:sz w:val="21"/>
          <w:szCs w:val="21"/>
        </w:rPr>
        <w:t xml:space="preserve">Note TN.4.13 — Mental Health Assessments for Obstetric Patients</w:t>
      </w:r>
    </w:p>
    <w:p>
      <w:pPr>
        <w:pBdr>
          <w:left w:val="single" w:color="3F6C8A" w:sz="16" w:space="8"/>
        </w:pBdr>
        <w:spacing w:after="200" w:line="276"/>
        <w:ind w:left="260"/>
      </w:pPr>
      <w:r>
        <w:rPr>
          <w:rFonts w:ascii="Calibri" w:cs="Calibri" w:eastAsia="Calibri" w:hAnsi="Calibri"/>
          <w:b/>
          <w:bCs/>
          <w:color w:val="3F6C8A"/>
          <w:sz w:val="20"/>
          <w:szCs w:val="20"/>
        </w:rPr>
        <w:t xml:space="preserve">Applies to:  </w:t>
      </w:r>
      <w:r>
        <w:rPr>
          <w:rFonts w:ascii="Calibri" w:cs="Calibri" w:eastAsia="Calibri" w:hAnsi="Calibri"/>
          <w:color w:val="1A1A1A"/>
          <w:sz w:val="20"/>
          <w:szCs w:val="20"/>
        </w:rPr>
        <w:t xml:space="preserve">Items 16590, 16591, and 16407.</w:t>
      </w:r>
    </w:p>
    <w:p>
      <w:pPr>
        <w:spacing w:after="160" w:line="276"/>
      </w:pPr>
      <w:r>
        <w:rPr>
          <w:rFonts w:ascii="Calibri" w:cs="Calibri" w:eastAsia="Calibri" w:hAnsi="Calibri"/>
          <w:color w:val="1A1A1A"/>
          <w:sz w:val="21"/>
          <w:szCs w:val="21"/>
        </w:rPr>
        <w:t xml:space="preserve">The mental health assessment (including screening for drug and alcohol use and domestic violence) may be performed by the clinician or by another suitably qualified health professional on the clinician's behalf. It must be offered to every patient; a benefit remains payable even if the patient declines. Results must be recorded in the patient's medical record, and a decision to decline must be recorded in the clinical notes. Recommended to be conducted in accordance with the NHMRC-endorsed guideline: Mental Health Care in the Perinatal Period: Australian Clinical Practice Guideline (Centre for Perinatal Excellence, October 2017).</w:t>
      </w:r>
    </w:p>
    <w:p>
      <w:pPr>
        <w:pStyle w:val="Heading1"/>
        <w:pBdr>
          <w:bottom w:val="single" w:color="1F3A52" w:sz="8" w:space="4"/>
        </w:pBdr>
        <w:spacing w:after="200" w:before="480"/>
      </w:pPr>
      <w:r>
        <w:rPr>
          <w:rFonts w:ascii="Calibri" w:cs="Calibri" w:eastAsia="Calibri" w:hAnsi="Calibri"/>
          <w:b/>
          <w:bCs/>
          <w:color w:val="1F3A52"/>
          <w:sz w:val="30"/>
          <w:szCs w:val="30"/>
        </w:rPr>
        <w:t xml:space="preserve">Part 2 — Nurse Practitioner Items (Direct-billing model)</w:t>
      </w:r>
    </w:p>
    <w:p>
      <w:pPr>
        <w:spacing w:after="160" w:line="276"/>
      </w:pPr>
      <w:r>
        <w:rPr>
          <w:rFonts w:ascii="Calibri" w:cs="Calibri" w:eastAsia="Calibri" w:hAnsi="Calibri"/>
          <w:color w:val="1A1A1A"/>
          <w:sz w:val="21"/>
          <w:szCs w:val="21"/>
        </w:rPr>
        <w:t xml:space="preserve">Category 8 — Miscellaneous Services, Group M14 (face-to-face) and Group M18 Subgroups 5 &amp; 10 (video and phone telehealth). Billed under the nurse practitioner's own provider number — the NP is the treating practitioner, not a delegate. Fees are identical across all three delivery channels for a given duration tier.</w:t>
      </w:r>
    </w:p>
    <w:tbl>
      <w:tblPr>
        <w:tblW w:type="dxa" w:w="9700"/>
        <w:tblBorders>
          <w:top w:val="single" w:color="C7D3D9" w:sz="4"/>
          <w:left w:val="single" w:color="C7D3D9" w:sz="4"/>
          <w:bottom w:val="single" w:color="C7D3D9" w:sz="4"/>
          <w:right w:val="single" w:color="C7D3D9" w:sz="4"/>
          <w:insideH w:val="single" w:color="C7D3D9" w:sz="4"/>
          <w:insideV w:val="single" w:color="C7D3D9" w:sz="4"/>
        </w:tblBorders>
      </w:tblPr>
      <w:tblGrid>
        <w:gridCol w:w="2500"/>
        <w:gridCol w:w="1300"/>
        <w:gridCol w:w="1300"/>
        <w:gridCol w:w="1300"/>
        <w:gridCol w:w="1500"/>
        <w:gridCol w:w="1800"/>
      </w:tblGrid>
      <w:tr>
        <w:trPr>
          <w:tblHeader/>
        </w:trPr>
        <w:tc>
          <w:tcPr>
            <w:tcW w:type="dxa" w:w="2500"/>
            <w:shd w:fill="1F3A52" w:color="auto" w:val="clear"/>
            <w:tcMar>
              <w:top w:type="dxa" w:w="90"/>
              <w:left w:type="dxa" w:w="110"/>
              <w:bottom w:type="dxa" w:w="90"/>
              <w:right w:type="dxa" w:w="110"/>
            </w:tcMar>
            <w:vAlign w:val="center"/>
          </w:tcPr>
          <w:p>
            <w:pPr>
              <w:jc w:val="left"/>
            </w:pPr>
            <w:r>
              <w:rPr>
                <w:rFonts w:ascii="Calibri" w:cs="Calibri" w:eastAsia="Calibri" w:hAnsi="Calibri"/>
                <w:b/>
                <w:bCs/>
                <w:i w:val="false"/>
                <w:iCs w:val="false"/>
                <w:color w:val="FFFFFF"/>
                <w:sz w:val="19"/>
                <w:szCs w:val="19"/>
              </w:rPr>
              <w:t xml:space="preserve">Duration / scope</w:t>
            </w:r>
          </w:p>
        </w:tc>
        <w:tc>
          <w:tcPr>
            <w:tcW w:type="dxa" w:w="1300"/>
            <w:shd w:fill="1F3A52" w:color="auto" w:val="clear"/>
            <w:tcMar>
              <w:top w:type="dxa" w:w="90"/>
              <w:left w:type="dxa" w:w="110"/>
              <w:bottom w:type="dxa" w:w="90"/>
              <w:right w:type="dxa" w:w="110"/>
            </w:tcMar>
            <w:vAlign w:val="center"/>
          </w:tcPr>
          <w:p>
            <w:pPr>
              <w:jc w:val="left"/>
            </w:pPr>
            <w:r>
              <w:rPr>
                <w:rFonts w:ascii="Calibri" w:cs="Calibri" w:eastAsia="Calibri" w:hAnsi="Calibri"/>
                <w:b/>
                <w:bCs/>
                <w:i w:val="false"/>
                <w:iCs w:val="false"/>
                <w:color w:val="FFFFFF"/>
                <w:sz w:val="19"/>
                <w:szCs w:val="19"/>
              </w:rPr>
              <w:t xml:space="preserve">Face-to-face</w:t>
            </w:r>
          </w:p>
        </w:tc>
        <w:tc>
          <w:tcPr>
            <w:tcW w:type="dxa" w:w="1300"/>
            <w:shd w:fill="1F3A52" w:color="auto" w:val="clear"/>
            <w:tcMar>
              <w:top w:type="dxa" w:w="90"/>
              <w:left w:type="dxa" w:w="110"/>
              <w:bottom w:type="dxa" w:w="90"/>
              <w:right w:type="dxa" w:w="110"/>
            </w:tcMar>
            <w:vAlign w:val="center"/>
          </w:tcPr>
          <w:p>
            <w:pPr>
              <w:jc w:val="left"/>
            </w:pPr>
            <w:r>
              <w:rPr>
                <w:rFonts w:ascii="Calibri" w:cs="Calibri" w:eastAsia="Calibri" w:hAnsi="Calibri"/>
                <w:b/>
                <w:bCs/>
                <w:i w:val="false"/>
                <w:iCs w:val="false"/>
                <w:color w:val="FFFFFF"/>
                <w:sz w:val="19"/>
                <w:szCs w:val="19"/>
              </w:rPr>
              <w:t xml:space="preserve">Video</w:t>
            </w:r>
          </w:p>
        </w:tc>
        <w:tc>
          <w:tcPr>
            <w:tcW w:type="dxa" w:w="1300"/>
            <w:shd w:fill="1F3A52" w:color="auto" w:val="clear"/>
            <w:tcMar>
              <w:top w:type="dxa" w:w="90"/>
              <w:left w:type="dxa" w:w="110"/>
              <w:bottom w:type="dxa" w:w="90"/>
              <w:right w:type="dxa" w:w="110"/>
            </w:tcMar>
            <w:vAlign w:val="center"/>
          </w:tcPr>
          <w:p>
            <w:pPr>
              <w:jc w:val="left"/>
            </w:pPr>
            <w:r>
              <w:rPr>
                <w:rFonts w:ascii="Calibri" w:cs="Calibri" w:eastAsia="Calibri" w:hAnsi="Calibri"/>
                <w:b/>
                <w:bCs/>
                <w:i w:val="false"/>
                <w:iCs w:val="false"/>
                <w:color w:val="FFFFFF"/>
                <w:sz w:val="19"/>
                <w:szCs w:val="19"/>
              </w:rPr>
              <w:t xml:space="preserve">Phone</w:t>
            </w:r>
          </w:p>
        </w:tc>
        <w:tc>
          <w:tcPr>
            <w:tcW w:type="dxa" w:w="1500"/>
            <w:shd w:fill="1F3A52" w:color="auto" w:val="clear"/>
            <w:tcMar>
              <w:top w:type="dxa" w:w="90"/>
              <w:left w:type="dxa" w:w="110"/>
              <w:bottom w:type="dxa" w:w="90"/>
              <w:right w:type="dxa" w:w="110"/>
            </w:tcMar>
            <w:vAlign w:val="center"/>
          </w:tcPr>
          <w:p>
            <w:pPr>
              <w:jc w:val="left"/>
            </w:pPr>
            <w:r>
              <w:rPr>
                <w:rFonts w:ascii="Calibri" w:cs="Calibri" w:eastAsia="Calibri" w:hAnsi="Calibri"/>
                <w:b/>
                <w:bCs/>
                <w:i w:val="false"/>
                <w:iCs w:val="false"/>
                <w:color w:val="FFFFFF"/>
                <w:sz w:val="19"/>
                <w:szCs w:val="19"/>
              </w:rPr>
              <w:t xml:space="preserve">Fee (AUD)</w:t>
            </w:r>
          </w:p>
        </w:tc>
        <w:tc>
          <w:tcPr>
            <w:tcW w:type="dxa" w:w="1800"/>
            <w:shd w:fill="1F3A52" w:color="auto" w:val="clear"/>
            <w:tcMar>
              <w:top w:type="dxa" w:w="90"/>
              <w:left w:type="dxa" w:w="110"/>
              <w:bottom w:type="dxa" w:w="90"/>
              <w:right w:type="dxa" w:w="110"/>
            </w:tcMar>
            <w:vAlign w:val="center"/>
          </w:tcPr>
          <w:p>
            <w:pPr>
              <w:jc w:val="left"/>
            </w:pPr>
            <w:r>
              <w:rPr>
                <w:rFonts w:ascii="Calibri" w:cs="Calibri" w:eastAsia="Calibri" w:hAnsi="Calibri"/>
                <w:b/>
                <w:bCs/>
                <w:i w:val="false"/>
                <w:iCs w:val="false"/>
                <w:color w:val="FFFFFF"/>
                <w:sz w:val="19"/>
                <w:szCs w:val="19"/>
              </w:rPr>
              <w:t xml:space="preserve">85% benefit</w:t>
            </w:r>
          </w:p>
        </w:tc>
      </w:tr>
      <w:tr>
        <w:tc>
          <w:tcPr>
            <w:tcW w:type="dxa" w:w="2500"/>
            <w:shd w:fill="EAF1F5" w:color="auto" w:val="clear"/>
            <w:tcMar>
              <w:top w:type="dxa" w:w="90"/>
              <w:left w:type="dxa" w:w="110"/>
              <w:bottom w:type="dxa" w:w="90"/>
              <w:right w:type="dxa" w:w="110"/>
            </w:tcMar>
            <w:vAlign w:val="center"/>
          </w:tcPr>
          <w:p>
            <w:pPr>
              <w:jc w:val="left"/>
            </w:pPr>
            <w:r>
              <w:rPr>
                <w:rFonts w:ascii="Calibri" w:cs="Calibri" w:eastAsia="Calibri" w:hAnsi="Calibri"/>
                <w:b w:val="false"/>
                <w:bCs w:val="false"/>
                <w:i w:val="false"/>
                <w:iCs w:val="false"/>
                <w:color w:val="1A1A1A"/>
                <w:sz w:val="19"/>
                <w:szCs w:val="19"/>
              </w:rPr>
              <w:t xml:space="preserve">Obvious, straightforward problem — short history, limited exam</w:t>
            </w:r>
          </w:p>
        </w:tc>
        <w:tc>
          <w:tcPr>
            <w:tcW w:type="dxa" w:w="1300"/>
            <w:shd w:fill="EAF1F5" w:color="auto" w:val="clear"/>
            <w:tcMar>
              <w:top w:type="dxa" w:w="90"/>
              <w:left w:type="dxa" w:w="110"/>
              <w:bottom w:type="dxa" w:w="90"/>
              <w:right w:type="dxa" w:w="110"/>
            </w:tcMar>
            <w:vAlign w:val="center"/>
          </w:tcPr>
          <w:p>
            <w:pPr>
              <w:jc w:val="left"/>
            </w:pPr>
            <w:r>
              <w:rPr>
                <w:rFonts w:ascii="Calibri" w:cs="Calibri" w:eastAsia="Calibri" w:hAnsi="Calibri"/>
                <w:b w:val="false"/>
                <w:bCs w:val="false"/>
                <w:i w:val="false"/>
                <w:iCs w:val="false"/>
                <w:color w:val="1A1A1A"/>
                <w:sz w:val="19"/>
                <w:szCs w:val="19"/>
              </w:rPr>
              <w:t xml:space="preserve">82200</w:t>
            </w:r>
          </w:p>
        </w:tc>
        <w:tc>
          <w:tcPr>
            <w:tcW w:type="dxa" w:w="1300"/>
            <w:shd w:fill="EAF1F5" w:color="auto" w:val="clear"/>
            <w:tcMar>
              <w:top w:type="dxa" w:w="90"/>
              <w:left w:type="dxa" w:w="110"/>
              <w:bottom w:type="dxa" w:w="90"/>
              <w:right w:type="dxa" w:w="110"/>
            </w:tcMar>
            <w:vAlign w:val="center"/>
          </w:tcPr>
          <w:p>
            <w:pPr>
              <w:jc w:val="left"/>
            </w:pPr>
            <w:r>
              <w:rPr>
                <w:rFonts w:ascii="Calibri" w:cs="Calibri" w:eastAsia="Calibri" w:hAnsi="Calibri"/>
                <w:b w:val="false"/>
                <w:bCs w:val="false"/>
                <w:i w:val="false"/>
                <w:iCs w:val="false"/>
                <w:color w:val="1A1A1A"/>
                <w:sz w:val="19"/>
                <w:szCs w:val="19"/>
              </w:rPr>
              <w:t xml:space="preserve">91192</w:t>
            </w:r>
          </w:p>
        </w:tc>
        <w:tc>
          <w:tcPr>
            <w:tcW w:type="dxa" w:w="1300"/>
            <w:shd w:fill="EAF1F5" w:color="auto" w:val="clear"/>
            <w:tcMar>
              <w:top w:type="dxa" w:w="90"/>
              <w:left w:type="dxa" w:w="110"/>
              <w:bottom w:type="dxa" w:w="90"/>
              <w:right w:type="dxa" w:w="110"/>
            </w:tcMar>
            <w:vAlign w:val="center"/>
          </w:tcPr>
          <w:p>
            <w:pPr>
              <w:jc w:val="left"/>
            </w:pPr>
            <w:r>
              <w:rPr>
                <w:rFonts w:ascii="Calibri" w:cs="Calibri" w:eastAsia="Calibri" w:hAnsi="Calibri"/>
                <w:b w:val="false"/>
                <w:bCs w:val="false"/>
                <w:i w:val="false"/>
                <w:iCs w:val="false"/>
                <w:color w:val="1A1A1A"/>
                <w:sz w:val="19"/>
                <w:szCs w:val="19"/>
              </w:rPr>
              <w:t xml:space="preserve">91193</w:t>
            </w:r>
          </w:p>
        </w:tc>
        <w:tc>
          <w:tcPr>
            <w:tcW w:type="dxa" w:w="1500"/>
            <w:shd w:fill="EAF1F5" w:color="auto" w:val="clear"/>
            <w:tcMar>
              <w:top w:type="dxa" w:w="90"/>
              <w:left w:type="dxa" w:w="110"/>
              <w:bottom w:type="dxa" w:w="90"/>
              <w:right w:type="dxa" w:w="110"/>
            </w:tcMar>
            <w:vAlign w:val="center"/>
          </w:tcPr>
          <w:p>
            <w:pPr>
              <w:jc w:val="left"/>
            </w:pPr>
            <w:r>
              <w:rPr>
                <w:rFonts w:ascii="Calibri" w:cs="Calibri" w:eastAsia="Calibri" w:hAnsi="Calibri"/>
                <w:b w:val="false"/>
                <w:bCs w:val="false"/>
                <w:i w:val="false"/>
                <w:iCs w:val="false"/>
                <w:color w:val="1A1A1A"/>
                <w:sz w:val="19"/>
                <w:szCs w:val="19"/>
              </w:rPr>
              <w:t xml:space="preserve">$14.95</w:t>
            </w:r>
          </w:p>
        </w:tc>
        <w:tc>
          <w:tcPr>
            <w:tcW w:type="dxa" w:w="1800"/>
            <w:shd w:fill="EAF1F5" w:color="auto" w:val="clear"/>
            <w:tcMar>
              <w:top w:type="dxa" w:w="90"/>
              <w:left w:type="dxa" w:w="110"/>
              <w:bottom w:type="dxa" w:w="90"/>
              <w:right w:type="dxa" w:w="110"/>
            </w:tcMar>
            <w:vAlign w:val="center"/>
          </w:tcPr>
          <w:p>
            <w:pPr>
              <w:jc w:val="left"/>
            </w:pPr>
            <w:r>
              <w:rPr>
                <w:rFonts w:ascii="Calibri" w:cs="Calibri" w:eastAsia="Calibri" w:hAnsi="Calibri"/>
                <w:b w:val="false"/>
                <w:bCs w:val="false"/>
                <w:i w:val="false"/>
                <w:iCs w:val="false"/>
                <w:color w:val="1A1A1A"/>
                <w:sz w:val="19"/>
                <w:szCs w:val="19"/>
              </w:rPr>
              <w:t xml:space="preserve">$12.75</w:t>
            </w:r>
          </w:p>
        </w:tc>
      </w:tr>
      <w:tr>
        <w:tc>
          <w:tcPr>
            <w:tcW w:type="dxa" w:w="2500"/>
            <w:tcMar>
              <w:top w:type="dxa" w:w="90"/>
              <w:left w:type="dxa" w:w="110"/>
              <w:bottom w:type="dxa" w:w="90"/>
              <w:right w:type="dxa" w:w="110"/>
            </w:tcMar>
            <w:vAlign w:val="center"/>
          </w:tcPr>
          <w:p>
            <w:pPr>
              <w:jc w:val="left"/>
            </w:pPr>
            <w:r>
              <w:rPr>
                <w:rFonts w:ascii="Calibri" w:cs="Calibri" w:eastAsia="Calibri" w:hAnsi="Calibri"/>
                <w:b w:val="false"/>
                <w:bCs w:val="false"/>
                <w:i w:val="false"/>
                <w:iCs w:val="false"/>
                <w:color w:val="1A1A1A"/>
                <w:sz w:val="19"/>
                <w:szCs w:val="19"/>
              </w:rPr>
              <w:t xml:space="preserve">≥6min, &lt;20min — history, exam, investigations, management plan</w:t>
            </w:r>
          </w:p>
        </w:tc>
        <w:tc>
          <w:tcPr>
            <w:tcW w:type="dxa" w:w="1300"/>
            <w:tcMar>
              <w:top w:type="dxa" w:w="90"/>
              <w:left w:type="dxa" w:w="110"/>
              <w:bottom w:type="dxa" w:w="90"/>
              <w:right w:type="dxa" w:w="110"/>
            </w:tcMar>
            <w:vAlign w:val="center"/>
          </w:tcPr>
          <w:p>
            <w:pPr>
              <w:jc w:val="left"/>
            </w:pPr>
            <w:r>
              <w:rPr>
                <w:rFonts w:ascii="Calibri" w:cs="Calibri" w:eastAsia="Calibri" w:hAnsi="Calibri"/>
                <w:b w:val="false"/>
                <w:bCs w:val="false"/>
                <w:i w:val="false"/>
                <w:iCs w:val="false"/>
                <w:color w:val="1A1A1A"/>
                <w:sz w:val="19"/>
                <w:szCs w:val="19"/>
              </w:rPr>
              <w:t xml:space="preserve">82205</w:t>
            </w:r>
          </w:p>
        </w:tc>
        <w:tc>
          <w:tcPr>
            <w:tcW w:type="dxa" w:w="1300"/>
            <w:tcMar>
              <w:top w:type="dxa" w:w="90"/>
              <w:left w:type="dxa" w:w="110"/>
              <w:bottom w:type="dxa" w:w="90"/>
              <w:right w:type="dxa" w:w="110"/>
            </w:tcMar>
            <w:vAlign w:val="center"/>
          </w:tcPr>
          <w:p>
            <w:pPr>
              <w:jc w:val="left"/>
            </w:pPr>
            <w:r>
              <w:rPr>
                <w:rFonts w:ascii="Calibri" w:cs="Calibri" w:eastAsia="Calibri" w:hAnsi="Calibri"/>
                <w:b w:val="false"/>
                <w:bCs w:val="false"/>
                <w:i w:val="false"/>
                <w:iCs w:val="false"/>
                <w:color w:val="1A1A1A"/>
                <w:sz w:val="19"/>
                <w:szCs w:val="19"/>
              </w:rPr>
              <w:t xml:space="preserve">91178</w:t>
            </w:r>
          </w:p>
        </w:tc>
        <w:tc>
          <w:tcPr>
            <w:tcW w:type="dxa" w:w="1300"/>
            <w:tcMar>
              <w:top w:type="dxa" w:w="90"/>
              <w:left w:type="dxa" w:w="110"/>
              <w:bottom w:type="dxa" w:w="90"/>
              <w:right w:type="dxa" w:w="110"/>
            </w:tcMar>
            <w:vAlign w:val="center"/>
          </w:tcPr>
          <w:p>
            <w:pPr>
              <w:jc w:val="left"/>
            </w:pPr>
            <w:r>
              <w:rPr>
                <w:rFonts w:ascii="Calibri" w:cs="Calibri" w:eastAsia="Calibri" w:hAnsi="Calibri"/>
                <w:b w:val="false"/>
                <w:bCs w:val="false"/>
                <w:i w:val="false"/>
                <w:iCs w:val="false"/>
                <w:color w:val="1A1A1A"/>
                <w:sz w:val="19"/>
                <w:szCs w:val="19"/>
              </w:rPr>
              <w:t xml:space="preserve">91189</w:t>
            </w:r>
          </w:p>
        </w:tc>
        <w:tc>
          <w:tcPr>
            <w:tcW w:type="dxa" w:w="1500"/>
            <w:tcMar>
              <w:top w:type="dxa" w:w="90"/>
              <w:left w:type="dxa" w:w="110"/>
              <w:bottom w:type="dxa" w:w="90"/>
              <w:right w:type="dxa" w:w="110"/>
            </w:tcMar>
            <w:vAlign w:val="center"/>
          </w:tcPr>
          <w:p>
            <w:pPr>
              <w:jc w:val="left"/>
            </w:pPr>
            <w:r>
              <w:rPr>
                <w:rFonts w:ascii="Calibri" w:cs="Calibri" w:eastAsia="Calibri" w:hAnsi="Calibri"/>
                <w:b w:val="false"/>
                <w:bCs w:val="false"/>
                <w:i w:val="false"/>
                <w:iCs w:val="false"/>
                <w:color w:val="1A1A1A"/>
                <w:sz w:val="19"/>
                <w:szCs w:val="19"/>
              </w:rPr>
              <w:t xml:space="preserve">$32.65</w:t>
            </w:r>
          </w:p>
        </w:tc>
        <w:tc>
          <w:tcPr>
            <w:tcW w:type="dxa" w:w="1800"/>
            <w:tcMar>
              <w:top w:type="dxa" w:w="90"/>
              <w:left w:type="dxa" w:w="110"/>
              <w:bottom w:type="dxa" w:w="90"/>
              <w:right w:type="dxa" w:w="110"/>
            </w:tcMar>
            <w:vAlign w:val="center"/>
          </w:tcPr>
          <w:p>
            <w:pPr>
              <w:jc w:val="left"/>
            </w:pPr>
            <w:r>
              <w:rPr>
                <w:rFonts w:ascii="Calibri" w:cs="Calibri" w:eastAsia="Calibri" w:hAnsi="Calibri"/>
                <w:b w:val="false"/>
                <w:bCs w:val="false"/>
                <w:i w:val="false"/>
                <w:iCs w:val="false"/>
                <w:color w:val="1A1A1A"/>
                <w:sz w:val="19"/>
                <w:szCs w:val="19"/>
              </w:rPr>
              <w:t xml:space="preserve">$27.80</w:t>
            </w:r>
          </w:p>
        </w:tc>
      </w:tr>
      <w:tr>
        <w:tc>
          <w:tcPr>
            <w:tcW w:type="dxa" w:w="2500"/>
            <w:shd w:fill="EAF1F5" w:color="auto" w:val="clear"/>
            <w:tcMar>
              <w:top w:type="dxa" w:w="90"/>
              <w:left w:type="dxa" w:w="110"/>
              <w:bottom w:type="dxa" w:w="90"/>
              <w:right w:type="dxa" w:w="110"/>
            </w:tcMar>
            <w:vAlign w:val="center"/>
          </w:tcPr>
          <w:p>
            <w:pPr>
              <w:jc w:val="left"/>
            </w:pPr>
            <w:r>
              <w:rPr>
                <w:rFonts w:ascii="Calibri" w:cs="Calibri" w:eastAsia="Calibri" w:hAnsi="Calibri"/>
                <w:b w:val="false"/>
                <w:bCs w:val="false"/>
                <w:i w:val="false"/>
                <w:iCs w:val="false"/>
                <w:color w:val="1A1A1A"/>
                <w:sz w:val="19"/>
                <w:szCs w:val="19"/>
              </w:rPr>
              <w:t xml:space="preserve">≥20min — detailed history, exam, investigations, management plan</w:t>
            </w:r>
          </w:p>
        </w:tc>
        <w:tc>
          <w:tcPr>
            <w:tcW w:type="dxa" w:w="1300"/>
            <w:shd w:fill="EAF1F5" w:color="auto" w:val="clear"/>
            <w:tcMar>
              <w:top w:type="dxa" w:w="90"/>
              <w:left w:type="dxa" w:w="110"/>
              <w:bottom w:type="dxa" w:w="90"/>
              <w:right w:type="dxa" w:w="110"/>
            </w:tcMar>
            <w:vAlign w:val="center"/>
          </w:tcPr>
          <w:p>
            <w:pPr>
              <w:jc w:val="left"/>
            </w:pPr>
            <w:r>
              <w:rPr>
                <w:rFonts w:ascii="Calibri" w:cs="Calibri" w:eastAsia="Calibri" w:hAnsi="Calibri"/>
                <w:b w:val="false"/>
                <w:bCs w:val="false"/>
                <w:i w:val="false"/>
                <w:iCs w:val="false"/>
                <w:color w:val="1A1A1A"/>
                <w:sz w:val="19"/>
                <w:szCs w:val="19"/>
              </w:rPr>
              <w:t xml:space="preserve">82210</w:t>
            </w:r>
          </w:p>
        </w:tc>
        <w:tc>
          <w:tcPr>
            <w:tcW w:type="dxa" w:w="1300"/>
            <w:shd w:fill="EAF1F5" w:color="auto" w:val="clear"/>
            <w:tcMar>
              <w:top w:type="dxa" w:w="90"/>
              <w:left w:type="dxa" w:w="110"/>
              <w:bottom w:type="dxa" w:w="90"/>
              <w:right w:type="dxa" w:w="110"/>
            </w:tcMar>
            <w:vAlign w:val="center"/>
          </w:tcPr>
          <w:p>
            <w:pPr>
              <w:jc w:val="left"/>
            </w:pPr>
            <w:r>
              <w:rPr>
                <w:rFonts w:ascii="Calibri" w:cs="Calibri" w:eastAsia="Calibri" w:hAnsi="Calibri"/>
                <w:b w:val="false"/>
                <w:bCs w:val="false"/>
                <w:i w:val="false"/>
                <w:iCs w:val="false"/>
                <w:color w:val="1A1A1A"/>
                <w:sz w:val="19"/>
                <w:szCs w:val="19"/>
              </w:rPr>
              <w:t xml:space="preserve">91179</w:t>
            </w:r>
          </w:p>
        </w:tc>
        <w:tc>
          <w:tcPr>
            <w:tcW w:type="dxa" w:w="1300"/>
            <w:shd w:fill="EAF1F5" w:color="auto" w:val="clear"/>
            <w:tcMar>
              <w:top w:type="dxa" w:w="90"/>
              <w:left w:type="dxa" w:w="110"/>
              <w:bottom w:type="dxa" w:w="90"/>
              <w:right w:type="dxa" w:w="110"/>
            </w:tcMar>
            <w:vAlign w:val="center"/>
          </w:tcPr>
          <w:p>
            <w:pPr>
              <w:jc w:val="left"/>
            </w:pPr>
            <w:r>
              <w:rPr>
                <w:rFonts w:ascii="Calibri" w:cs="Calibri" w:eastAsia="Calibri" w:hAnsi="Calibri"/>
                <w:b w:val="false"/>
                <w:bCs w:val="false"/>
                <w:i w:val="false"/>
                <w:iCs w:val="false"/>
                <w:color w:val="1A1A1A"/>
                <w:sz w:val="19"/>
                <w:szCs w:val="19"/>
              </w:rPr>
              <w:t xml:space="preserve">91190</w:t>
            </w:r>
          </w:p>
        </w:tc>
        <w:tc>
          <w:tcPr>
            <w:tcW w:type="dxa" w:w="1500"/>
            <w:shd w:fill="EAF1F5" w:color="auto" w:val="clear"/>
            <w:tcMar>
              <w:top w:type="dxa" w:w="90"/>
              <w:left w:type="dxa" w:w="110"/>
              <w:bottom w:type="dxa" w:w="90"/>
              <w:right w:type="dxa" w:w="110"/>
            </w:tcMar>
            <w:vAlign w:val="center"/>
          </w:tcPr>
          <w:p>
            <w:pPr>
              <w:jc w:val="left"/>
            </w:pPr>
            <w:r>
              <w:rPr>
                <w:rFonts w:ascii="Calibri" w:cs="Calibri" w:eastAsia="Calibri" w:hAnsi="Calibri"/>
                <w:b w:val="false"/>
                <w:bCs w:val="false"/>
                <w:i w:val="false"/>
                <w:iCs w:val="false"/>
                <w:color w:val="1A1A1A"/>
                <w:sz w:val="19"/>
                <w:szCs w:val="19"/>
              </w:rPr>
              <w:t xml:space="preserve">$61.80</w:t>
            </w:r>
          </w:p>
        </w:tc>
        <w:tc>
          <w:tcPr>
            <w:tcW w:type="dxa" w:w="1800"/>
            <w:shd w:fill="EAF1F5" w:color="auto" w:val="clear"/>
            <w:tcMar>
              <w:top w:type="dxa" w:w="90"/>
              <w:left w:type="dxa" w:w="110"/>
              <w:bottom w:type="dxa" w:w="90"/>
              <w:right w:type="dxa" w:w="110"/>
            </w:tcMar>
            <w:vAlign w:val="center"/>
          </w:tcPr>
          <w:p>
            <w:pPr>
              <w:jc w:val="left"/>
            </w:pPr>
            <w:r>
              <w:rPr>
                <w:rFonts w:ascii="Calibri" w:cs="Calibri" w:eastAsia="Calibri" w:hAnsi="Calibri"/>
                <w:b w:val="false"/>
                <w:bCs w:val="false"/>
                <w:i w:val="false"/>
                <w:iCs w:val="false"/>
                <w:color w:val="1A1A1A"/>
                <w:sz w:val="19"/>
                <w:szCs w:val="19"/>
              </w:rPr>
              <w:t xml:space="preserve">$52.55</w:t>
            </w:r>
          </w:p>
        </w:tc>
      </w:tr>
      <w:tr>
        <w:tc>
          <w:tcPr>
            <w:tcW w:type="dxa" w:w="2500"/>
            <w:tcMar>
              <w:top w:type="dxa" w:w="90"/>
              <w:left w:type="dxa" w:w="110"/>
              <w:bottom w:type="dxa" w:w="90"/>
              <w:right w:type="dxa" w:w="110"/>
            </w:tcMar>
            <w:vAlign w:val="center"/>
          </w:tcPr>
          <w:p>
            <w:pPr>
              <w:jc w:val="left"/>
            </w:pPr>
            <w:r>
              <w:rPr>
                <w:rFonts w:ascii="Calibri" w:cs="Calibri" w:eastAsia="Calibri" w:hAnsi="Calibri"/>
                <w:b w:val="false"/>
                <w:bCs w:val="false"/>
                <w:i w:val="false"/>
                <w:iCs w:val="false"/>
                <w:color w:val="1A1A1A"/>
                <w:sz w:val="19"/>
                <w:szCs w:val="19"/>
              </w:rPr>
              <w:t xml:space="preserve">≥40min — extensive history, exam, investigations, management plan</w:t>
            </w:r>
          </w:p>
        </w:tc>
        <w:tc>
          <w:tcPr>
            <w:tcW w:type="dxa" w:w="1300"/>
            <w:tcMar>
              <w:top w:type="dxa" w:w="90"/>
              <w:left w:type="dxa" w:w="110"/>
              <w:bottom w:type="dxa" w:w="90"/>
              <w:right w:type="dxa" w:w="110"/>
            </w:tcMar>
            <w:vAlign w:val="center"/>
          </w:tcPr>
          <w:p>
            <w:pPr>
              <w:jc w:val="left"/>
            </w:pPr>
            <w:r>
              <w:rPr>
                <w:rFonts w:ascii="Calibri" w:cs="Calibri" w:eastAsia="Calibri" w:hAnsi="Calibri"/>
                <w:b w:val="false"/>
                <w:bCs w:val="false"/>
                <w:i w:val="false"/>
                <w:iCs w:val="false"/>
                <w:color w:val="1A1A1A"/>
                <w:sz w:val="19"/>
                <w:szCs w:val="19"/>
              </w:rPr>
              <w:t xml:space="preserve">82215</w:t>
            </w:r>
          </w:p>
        </w:tc>
        <w:tc>
          <w:tcPr>
            <w:tcW w:type="dxa" w:w="1300"/>
            <w:tcMar>
              <w:top w:type="dxa" w:w="90"/>
              <w:left w:type="dxa" w:w="110"/>
              <w:bottom w:type="dxa" w:w="90"/>
              <w:right w:type="dxa" w:w="110"/>
            </w:tcMar>
            <w:vAlign w:val="center"/>
          </w:tcPr>
          <w:p>
            <w:pPr>
              <w:jc w:val="left"/>
            </w:pPr>
            <w:r>
              <w:rPr>
                <w:rFonts w:ascii="Calibri" w:cs="Calibri" w:eastAsia="Calibri" w:hAnsi="Calibri"/>
                <w:b w:val="false"/>
                <w:bCs w:val="false"/>
                <w:i w:val="false"/>
                <w:iCs w:val="false"/>
                <w:color w:val="1A1A1A"/>
                <w:sz w:val="19"/>
                <w:szCs w:val="19"/>
              </w:rPr>
              <w:t xml:space="preserve">91180</w:t>
            </w:r>
          </w:p>
        </w:tc>
        <w:tc>
          <w:tcPr>
            <w:tcW w:type="dxa" w:w="1300"/>
            <w:tcMar>
              <w:top w:type="dxa" w:w="90"/>
              <w:left w:type="dxa" w:w="110"/>
              <w:bottom w:type="dxa" w:w="90"/>
              <w:right w:type="dxa" w:w="110"/>
            </w:tcMar>
            <w:vAlign w:val="center"/>
          </w:tcPr>
          <w:p>
            <w:pPr>
              <w:jc w:val="left"/>
            </w:pPr>
            <w:r>
              <w:rPr>
                <w:rFonts w:ascii="Calibri" w:cs="Calibri" w:eastAsia="Calibri" w:hAnsi="Calibri"/>
                <w:b w:val="false"/>
                <w:bCs w:val="false"/>
                <w:i w:val="false"/>
                <w:iCs w:val="false"/>
                <w:color w:val="1A1A1A"/>
                <w:sz w:val="19"/>
                <w:szCs w:val="19"/>
              </w:rPr>
              <w:t xml:space="preserve">91191</w:t>
            </w:r>
          </w:p>
        </w:tc>
        <w:tc>
          <w:tcPr>
            <w:tcW w:type="dxa" w:w="1500"/>
            <w:tcMar>
              <w:top w:type="dxa" w:w="90"/>
              <w:left w:type="dxa" w:w="110"/>
              <w:bottom w:type="dxa" w:w="90"/>
              <w:right w:type="dxa" w:w="110"/>
            </w:tcMar>
            <w:vAlign w:val="center"/>
          </w:tcPr>
          <w:p>
            <w:pPr>
              <w:jc w:val="left"/>
            </w:pPr>
            <w:r>
              <w:rPr>
                <w:rFonts w:ascii="Calibri" w:cs="Calibri" w:eastAsia="Calibri" w:hAnsi="Calibri"/>
                <w:b w:val="false"/>
                <w:bCs w:val="false"/>
                <w:i w:val="false"/>
                <w:iCs w:val="false"/>
                <w:color w:val="1A1A1A"/>
                <w:sz w:val="19"/>
                <w:szCs w:val="19"/>
              </w:rPr>
              <w:t xml:space="preserve">$91.20</w:t>
            </w:r>
          </w:p>
        </w:tc>
        <w:tc>
          <w:tcPr>
            <w:tcW w:type="dxa" w:w="1800"/>
            <w:tcMar>
              <w:top w:type="dxa" w:w="90"/>
              <w:left w:type="dxa" w:w="110"/>
              <w:bottom w:type="dxa" w:w="90"/>
              <w:right w:type="dxa" w:w="110"/>
            </w:tcMar>
            <w:vAlign w:val="center"/>
          </w:tcPr>
          <w:p>
            <w:pPr>
              <w:jc w:val="left"/>
            </w:pPr>
            <w:r>
              <w:rPr>
                <w:rFonts w:ascii="Calibri" w:cs="Calibri" w:eastAsia="Calibri" w:hAnsi="Calibri"/>
                <w:b w:val="false"/>
                <w:bCs w:val="false"/>
                <w:i w:val="false"/>
                <w:iCs w:val="false"/>
                <w:color w:val="1A1A1A"/>
                <w:sz w:val="19"/>
                <w:szCs w:val="19"/>
              </w:rPr>
              <w:t xml:space="preserve">$77.55</w:t>
            </w:r>
          </w:p>
        </w:tc>
      </w:tr>
      <w:tr>
        <w:tc>
          <w:tcPr>
            <w:tcW w:type="dxa" w:w="2500"/>
            <w:shd w:fill="EAF1F5" w:color="auto" w:val="clear"/>
            <w:tcMar>
              <w:top w:type="dxa" w:w="90"/>
              <w:left w:type="dxa" w:w="110"/>
              <w:bottom w:type="dxa" w:w="90"/>
              <w:right w:type="dxa" w:w="110"/>
            </w:tcMar>
            <w:vAlign w:val="center"/>
          </w:tcPr>
          <w:p>
            <w:pPr>
              <w:jc w:val="left"/>
            </w:pPr>
            <w:r>
              <w:rPr>
                <w:rFonts w:ascii="Calibri" w:cs="Calibri" w:eastAsia="Calibri" w:hAnsi="Calibri"/>
                <w:b w:val="false"/>
                <w:bCs w:val="false"/>
                <w:i w:val="false"/>
                <w:iCs w:val="false"/>
                <w:color w:val="1A1A1A"/>
                <w:sz w:val="19"/>
                <w:szCs w:val="19"/>
              </w:rPr>
              <w:t xml:space="preserve">≥60min — extensive history, exam, investigations, management plan</w:t>
            </w:r>
          </w:p>
        </w:tc>
        <w:tc>
          <w:tcPr>
            <w:tcW w:type="dxa" w:w="1300"/>
            <w:shd w:fill="EAF1F5" w:color="auto" w:val="clear"/>
            <w:tcMar>
              <w:top w:type="dxa" w:w="90"/>
              <w:left w:type="dxa" w:w="110"/>
              <w:bottom w:type="dxa" w:w="90"/>
              <w:right w:type="dxa" w:w="110"/>
            </w:tcMar>
            <w:vAlign w:val="center"/>
          </w:tcPr>
          <w:p>
            <w:pPr>
              <w:jc w:val="left"/>
            </w:pPr>
            <w:r>
              <w:rPr>
                <w:rFonts w:ascii="Calibri" w:cs="Calibri" w:eastAsia="Calibri" w:hAnsi="Calibri"/>
                <w:b w:val="false"/>
                <w:bCs w:val="false"/>
                <w:i w:val="false"/>
                <w:iCs w:val="false"/>
                <w:color w:val="1A1A1A"/>
                <w:sz w:val="19"/>
                <w:szCs w:val="19"/>
              </w:rPr>
              <w:t xml:space="preserve">82216</w:t>
            </w:r>
          </w:p>
        </w:tc>
        <w:tc>
          <w:tcPr>
            <w:tcW w:type="dxa" w:w="1300"/>
            <w:shd w:fill="EAF1F5" w:color="auto" w:val="clear"/>
            <w:tcMar>
              <w:top w:type="dxa" w:w="90"/>
              <w:left w:type="dxa" w:w="110"/>
              <w:bottom w:type="dxa" w:w="90"/>
              <w:right w:type="dxa" w:w="110"/>
            </w:tcMar>
            <w:vAlign w:val="center"/>
          </w:tcPr>
          <w:p>
            <w:pPr>
              <w:jc w:val="left"/>
            </w:pPr>
            <w:r>
              <w:rPr>
                <w:rFonts w:ascii="Calibri" w:cs="Calibri" w:eastAsia="Calibri" w:hAnsi="Calibri"/>
                <w:b w:val="false"/>
                <w:bCs w:val="false"/>
                <w:i w:val="false"/>
                <w:iCs w:val="false"/>
                <w:color w:val="1A1A1A"/>
                <w:sz w:val="19"/>
                <w:szCs w:val="19"/>
              </w:rPr>
              <w:t xml:space="preserve">91206</w:t>
            </w:r>
          </w:p>
        </w:tc>
        <w:tc>
          <w:tcPr>
            <w:tcW w:type="dxa" w:w="1300"/>
            <w:shd w:fill="EAF1F5" w:color="auto" w:val="clear"/>
            <w:tcMar>
              <w:top w:type="dxa" w:w="90"/>
              <w:left w:type="dxa" w:w="110"/>
              <w:bottom w:type="dxa" w:w="90"/>
              <w:right w:type="dxa" w:w="110"/>
            </w:tcMar>
            <w:vAlign w:val="center"/>
          </w:tcPr>
          <w:p>
            <w:pPr>
              <w:jc w:val="left"/>
            </w:pPr>
            <w:r>
              <w:rPr>
                <w:rFonts w:ascii="Calibri" w:cs="Calibri" w:eastAsia="Calibri" w:hAnsi="Calibri"/>
                <w:b w:val="false"/>
                <w:bCs w:val="false"/>
                <w:i w:val="false"/>
                <w:iCs w:val="false"/>
                <w:color w:val="1A1A1A"/>
                <w:sz w:val="19"/>
                <w:szCs w:val="19"/>
              </w:rPr>
              <w:t xml:space="preserve">— (none identified)</w:t>
            </w:r>
          </w:p>
        </w:tc>
        <w:tc>
          <w:tcPr>
            <w:tcW w:type="dxa" w:w="1500"/>
            <w:shd w:fill="EAF1F5" w:color="auto" w:val="clear"/>
            <w:tcMar>
              <w:top w:type="dxa" w:w="90"/>
              <w:left w:type="dxa" w:w="110"/>
              <w:bottom w:type="dxa" w:w="90"/>
              <w:right w:type="dxa" w:w="110"/>
            </w:tcMar>
            <w:vAlign w:val="center"/>
          </w:tcPr>
          <w:p>
            <w:pPr>
              <w:jc w:val="left"/>
            </w:pPr>
            <w:r>
              <w:rPr>
                <w:rFonts w:ascii="Calibri" w:cs="Calibri" w:eastAsia="Calibri" w:hAnsi="Calibri"/>
                <w:b w:val="false"/>
                <w:bCs w:val="false"/>
                <w:i w:val="false"/>
                <w:iCs w:val="false"/>
                <w:color w:val="1A1A1A"/>
                <w:sz w:val="19"/>
                <w:szCs w:val="19"/>
              </w:rPr>
              <w:t xml:space="preserve">$137.85</w:t>
            </w:r>
          </w:p>
        </w:tc>
        <w:tc>
          <w:tcPr>
            <w:tcW w:type="dxa" w:w="1800"/>
            <w:shd w:fill="EAF1F5" w:color="auto" w:val="clear"/>
            <w:tcMar>
              <w:top w:type="dxa" w:w="90"/>
              <w:left w:type="dxa" w:w="110"/>
              <w:bottom w:type="dxa" w:w="90"/>
              <w:right w:type="dxa" w:w="110"/>
            </w:tcMar>
            <w:vAlign w:val="center"/>
          </w:tcPr>
          <w:p>
            <w:pPr>
              <w:jc w:val="left"/>
            </w:pPr>
            <w:r>
              <w:rPr>
                <w:rFonts w:ascii="Calibri" w:cs="Calibri" w:eastAsia="Calibri" w:hAnsi="Calibri"/>
                <w:b w:val="false"/>
                <w:bCs w:val="false"/>
                <w:i w:val="false"/>
                <w:iCs w:val="false"/>
                <w:color w:val="1A1A1A"/>
                <w:sz w:val="19"/>
                <w:szCs w:val="19"/>
              </w:rPr>
              <w:t xml:space="preserve">$117.20</w:t>
            </w:r>
          </w:p>
        </w:tc>
      </w:tr>
    </w:tbl>
    <w:p>
      <w:pPr>
        <w:spacing w:after="220"/>
      </w:pPr>
    </w:p>
    <w:p>
      <w:pPr>
        <w:pStyle w:val="Heading3"/>
        <w:spacing w:after="100" w:before="240"/>
      </w:pPr>
      <w:r>
        <w:rPr>
          <w:rFonts w:ascii="Calibri" w:cs="Calibri" w:eastAsia="Calibri" w:hAnsi="Calibri"/>
          <w:b/>
          <w:bCs/>
          <w:color w:val="1A1A1A"/>
          <w:sz w:val="21"/>
          <w:szCs w:val="21"/>
        </w:rPr>
        <w:t xml:space="preserve">Note MN.0.1 — Telehealth eligibility (video and phone)</w:t>
      </w:r>
    </w:p>
    <w:p>
      <w:pPr>
        <w:spacing w:after="160" w:line="276"/>
      </w:pPr>
      <w:r>
        <w:rPr>
          <w:rFonts w:ascii="Calibri" w:cs="Calibri" w:eastAsia="Calibri" w:hAnsi="Calibri"/>
          <w:color w:val="1A1A1A"/>
          <w:sz w:val="21"/>
          <w:szCs w:val="21"/>
        </w:rPr>
        <w:t xml:space="preserve">An NP may only bill a telehealth service where they are the patient's eligible telehealth practitioner: either the NP has personally provided a face-to-face service to the patient in the preceding 12 months, or the NP is located at a practice where the patient has received at least one MBS-billed face-to-face service in the preceding 12 months (this can be satisfied by another practitioner, an Approved Medical Deputising Service, or a practice nurse/ATSI health worker acting on behalf of a medical practitioner at that practice). Limited exemptions apply.</w:t>
      </w:r>
    </w:p>
    <w:p>
      <w:pPr>
        <w:pStyle w:val="Heading3"/>
        <w:spacing w:after="100" w:before="240"/>
      </w:pPr>
      <w:r>
        <w:rPr>
          <w:rFonts w:ascii="Calibri" w:cs="Calibri" w:eastAsia="Calibri" w:hAnsi="Calibri"/>
          <w:b/>
          <w:bCs/>
          <w:color w:val="1A1A1A"/>
          <w:sz w:val="21"/>
          <w:szCs w:val="21"/>
        </w:rPr>
        <w:t xml:space="preserve">Note MN.14.15 — Referral requirements</w:t>
      </w:r>
    </w:p>
    <w:p>
      <w:pPr>
        <w:spacing w:after="160" w:line="276"/>
      </w:pPr>
      <w:r>
        <w:rPr>
          <w:rFonts w:ascii="Calibri" w:cs="Calibri" w:eastAsia="Calibri" w:hAnsi="Calibri"/>
          <w:color w:val="1A1A1A"/>
          <w:sz w:val="21"/>
          <w:szCs w:val="21"/>
        </w:rPr>
        <w:t xml:space="preserve">An NP may refer private patients to a specialist or consultant physician (referral valid 12 months from the first service). This does not extend to referral for allied health or Aboriginal and Torres Strait Islander primary health care — no benefit is payable for a service provided on such a referral. A written, signed and dated referral is required (with limited emergency exemptions).</w:t>
      </w:r>
    </w:p>
    <w:p>
      <w:pPr>
        <w:pStyle w:val="Heading3"/>
        <w:spacing w:after="100" w:before="240"/>
      </w:pPr>
      <w:r>
        <w:rPr>
          <w:rFonts w:ascii="Calibri" w:cs="Calibri" w:eastAsia="Calibri" w:hAnsi="Calibri"/>
          <w:b/>
          <w:bCs/>
          <w:color w:val="1A1A1A"/>
          <w:sz w:val="21"/>
          <w:szCs w:val="21"/>
        </w:rPr>
        <w:t xml:space="preserve">Note MN.14.16 — Requesting requirements</w:t>
      </w:r>
    </w:p>
    <w:p>
      <w:pPr>
        <w:spacing w:after="160" w:line="276"/>
      </w:pPr>
      <w:r>
        <w:rPr>
          <w:rFonts w:ascii="Calibri" w:cs="Calibri" w:eastAsia="Calibri" w:hAnsi="Calibri"/>
          <w:color w:val="1A1A1A"/>
          <w:sz w:val="21"/>
          <w:szCs w:val="21"/>
        </w:rPr>
        <w:t xml:space="preserve">NPs may request pathology services (Groups P1–P8, items 73826–73837) and diagnostic imaging directly, within their scope of practice, provided the request is in writing (pathology requests may be oral if confirmed in writing within 14 days) and the NP has determined the service is clinically necessary.</w:t>
      </w:r>
    </w:p>
    <w:p>
      <w:r>
        <w:br w:type="page"/>
      </w:r>
    </w:p>
    <w:p>
      <w:pPr>
        <w:pStyle w:val="Heading1"/>
        <w:pBdr>
          <w:bottom w:val="single" w:color="1F3A52" w:sz="8" w:space="4"/>
        </w:pBdr>
        <w:spacing w:after="200" w:before="480"/>
      </w:pPr>
      <w:r>
        <w:rPr>
          <w:rFonts w:ascii="Calibri" w:cs="Calibri" w:eastAsia="Calibri" w:hAnsi="Calibri"/>
          <w:b/>
          <w:bCs/>
          <w:color w:val="1F3A52"/>
          <w:sz w:val="30"/>
          <w:szCs w:val="30"/>
        </w:rPr>
        <w:t xml:space="preserve">Part 3 — Midwifery Items (Personal-performance model)</w:t>
      </w:r>
    </w:p>
    <w:p>
      <w:pPr>
        <w:spacing w:after="160" w:line="276"/>
      </w:pPr>
      <w:r>
        <w:rPr>
          <w:rFonts w:ascii="Calibri" w:cs="Calibri" w:eastAsia="Calibri" w:hAnsi="Calibri"/>
          <w:color w:val="1A1A1A"/>
          <w:sz w:val="21"/>
          <w:szCs w:val="21"/>
        </w:rPr>
        <w:t xml:space="preserve">Category 8 — Miscellaneous Services, Group M13 (face-to-face) and Group M19 (video and phone telehealth). Sixteen face-to-face item types cover the full antenatal, intrapartum, and postnatal pathway for a Participating Midwife. Unlike the obstetric items in Part 1, these cannot be delegated — MN.13.10(b) excludes benefits where the service is not personally performed by the participating midwife.</w:t>
      </w:r>
    </w:p>
    <w:p>
      <w:pPr>
        <w:pStyle w:val="Heading2"/>
        <w:spacing w:after="140" w:before="340"/>
      </w:pPr>
      <w:r>
        <w:rPr>
          <w:rFonts w:ascii="Calibri" w:cs="Calibri" w:eastAsia="Calibri" w:hAnsi="Calibri"/>
          <w:b/>
          <w:bCs/>
          <w:color w:val="3F6C8A"/>
          <w:sz w:val="24"/>
          <w:szCs w:val="24"/>
        </w:rPr>
        <w:t xml:space="preserve">3.1 — Antenatal attendances</w:t>
      </w:r>
    </w:p>
    <w:tbl>
      <w:tblPr>
        <w:tblW w:type="dxa" w:w="9700"/>
        <w:tblBorders>
          <w:top w:val="single" w:color="C7D3D9" w:sz="4"/>
          <w:left w:val="single" w:color="C7D3D9" w:sz="4"/>
          <w:bottom w:val="single" w:color="C7D3D9" w:sz="4"/>
          <w:right w:val="single" w:color="C7D3D9" w:sz="4"/>
          <w:insideH w:val="single" w:color="C7D3D9" w:sz="4"/>
          <w:insideV w:val="single" w:color="C7D3D9" w:sz="4"/>
        </w:tblBorders>
      </w:tblPr>
      <w:tblGrid>
        <w:gridCol w:w="900"/>
        <w:gridCol w:w="3900"/>
        <w:gridCol w:w="1700"/>
        <w:gridCol w:w="1900"/>
        <w:gridCol w:w="1300"/>
      </w:tblGrid>
      <w:tr>
        <w:trPr>
          <w:tblHeader/>
        </w:trPr>
        <w:tc>
          <w:tcPr>
            <w:tcW w:type="dxa" w:w="900"/>
            <w:shd w:fill="1F3A52" w:color="auto" w:val="clear"/>
            <w:tcMar>
              <w:top w:type="dxa" w:w="90"/>
              <w:left w:type="dxa" w:w="110"/>
              <w:bottom w:type="dxa" w:w="90"/>
              <w:right w:type="dxa" w:w="110"/>
            </w:tcMar>
            <w:vAlign w:val="center"/>
          </w:tcPr>
          <w:p>
            <w:pPr>
              <w:jc w:val="left"/>
            </w:pPr>
            <w:r>
              <w:rPr>
                <w:rFonts w:ascii="Calibri" w:cs="Calibri" w:eastAsia="Calibri" w:hAnsi="Calibri"/>
                <w:b/>
                <w:bCs/>
                <w:i w:val="false"/>
                <w:iCs w:val="false"/>
                <w:color w:val="FFFFFF"/>
                <w:sz w:val="19"/>
                <w:szCs w:val="19"/>
              </w:rPr>
              <w:t xml:space="preserve">Item</w:t>
            </w:r>
          </w:p>
        </w:tc>
        <w:tc>
          <w:tcPr>
            <w:tcW w:type="dxa" w:w="3900"/>
            <w:shd w:fill="1F3A52" w:color="auto" w:val="clear"/>
            <w:tcMar>
              <w:top w:type="dxa" w:w="90"/>
              <w:left w:type="dxa" w:w="110"/>
              <w:bottom w:type="dxa" w:w="90"/>
              <w:right w:type="dxa" w:w="110"/>
            </w:tcMar>
            <w:vAlign w:val="center"/>
          </w:tcPr>
          <w:p>
            <w:pPr>
              <w:jc w:val="left"/>
            </w:pPr>
            <w:r>
              <w:rPr>
                <w:rFonts w:ascii="Calibri" w:cs="Calibri" w:eastAsia="Calibri" w:hAnsi="Calibri"/>
                <w:b/>
                <w:bCs/>
                <w:i w:val="false"/>
                <w:iCs w:val="false"/>
                <w:color w:val="FFFFFF"/>
                <w:sz w:val="19"/>
                <w:szCs w:val="19"/>
              </w:rPr>
              <w:t xml:space="preserve">Description</w:t>
            </w:r>
          </w:p>
        </w:tc>
        <w:tc>
          <w:tcPr>
            <w:tcW w:type="dxa" w:w="1700"/>
            <w:shd w:fill="1F3A52" w:color="auto" w:val="clear"/>
            <w:tcMar>
              <w:top w:type="dxa" w:w="90"/>
              <w:left w:type="dxa" w:w="110"/>
              <w:bottom w:type="dxa" w:w="90"/>
              <w:right w:type="dxa" w:w="110"/>
            </w:tcMar>
            <w:vAlign w:val="center"/>
          </w:tcPr>
          <w:p>
            <w:pPr>
              <w:jc w:val="left"/>
            </w:pPr>
            <w:r>
              <w:rPr>
                <w:rFonts w:ascii="Calibri" w:cs="Calibri" w:eastAsia="Calibri" w:hAnsi="Calibri"/>
                <w:b/>
                <w:bCs/>
                <w:i w:val="false"/>
                <w:iCs w:val="false"/>
                <w:color w:val="FFFFFF"/>
                <w:sz w:val="19"/>
                <w:szCs w:val="19"/>
              </w:rPr>
              <w:t xml:space="preserve">Fee (AUD)</w:t>
            </w:r>
          </w:p>
        </w:tc>
        <w:tc>
          <w:tcPr>
            <w:tcW w:type="dxa" w:w="1900"/>
            <w:shd w:fill="1F3A52" w:color="auto" w:val="clear"/>
            <w:tcMar>
              <w:top w:type="dxa" w:w="90"/>
              <w:left w:type="dxa" w:w="110"/>
              <w:bottom w:type="dxa" w:w="90"/>
              <w:right w:type="dxa" w:w="110"/>
            </w:tcMar>
            <w:vAlign w:val="center"/>
          </w:tcPr>
          <w:p>
            <w:pPr>
              <w:jc w:val="left"/>
            </w:pPr>
            <w:r>
              <w:rPr>
                <w:rFonts w:ascii="Calibri" w:cs="Calibri" w:eastAsia="Calibri" w:hAnsi="Calibri"/>
                <w:b/>
                <w:bCs/>
                <w:i w:val="false"/>
                <w:iCs w:val="false"/>
                <w:color w:val="FFFFFF"/>
                <w:sz w:val="19"/>
                <w:szCs w:val="19"/>
              </w:rPr>
              <w:t xml:space="preserve">Benefit</w:t>
            </w:r>
          </w:p>
        </w:tc>
        <w:tc>
          <w:tcPr>
            <w:tcW w:type="dxa" w:w="1300"/>
            <w:shd w:fill="1F3A52" w:color="auto" w:val="clear"/>
            <w:tcMar>
              <w:top w:type="dxa" w:w="90"/>
              <w:left w:type="dxa" w:w="110"/>
              <w:bottom w:type="dxa" w:w="90"/>
              <w:right w:type="dxa" w:w="110"/>
            </w:tcMar>
            <w:vAlign w:val="center"/>
          </w:tcPr>
          <w:p>
            <w:pPr>
              <w:jc w:val="left"/>
            </w:pPr>
            <w:r>
              <w:rPr>
                <w:rFonts w:ascii="Calibri" w:cs="Calibri" w:eastAsia="Calibri" w:hAnsi="Calibri"/>
                <w:b/>
                <w:bCs/>
                <w:i w:val="false"/>
                <w:iCs w:val="false"/>
                <w:color w:val="FFFFFF"/>
                <w:sz w:val="19"/>
                <w:szCs w:val="19"/>
              </w:rPr>
              <w:t xml:space="preserve">EMSN cap</w:t>
            </w:r>
          </w:p>
        </w:tc>
      </w:tr>
      <w:tr>
        <w:tc>
          <w:tcPr>
            <w:tcW w:type="dxa" w:w="900"/>
            <w:shd w:fill="EAF1F5" w:color="auto" w:val="clear"/>
            <w:tcMar>
              <w:top w:type="dxa" w:w="90"/>
              <w:left w:type="dxa" w:w="110"/>
              <w:bottom w:type="dxa" w:w="90"/>
              <w:right w:type="dxa" w:w="110"/>
            </w:tcMar>
            <w:vAlign w:val="center"/>
          </w:tcPr>
          <w:p>
            <w:pPr>
              <w:jc w:val="left"/>
            </w:pPr>
            <w:r>
              <w:rPr>
                <w:rFonts w:ascii="Calibri" w:cs="Calibri" w:eastAsia="Calibri" w:hAnsi="Calibri"/>
                <w:b w:val="false"/>
                <w:bCs w:val="false"/>
                <w:i w:val="false"/>
                <w:iCs w:val="false"/>
                <w:color w:val="1A1A1A"/>
                <w:sz w:val="19"/>
                <w:szCs w:val="19"/>
              </w:rPr>
              <w:t xml:space="preserve">82100</w:t>
            </w:r>
          </w:p>
        </w:tc>
        <w:tc>
          <w:tcPr>
            <w:tcW w:type="dxa" w:w="3900"/>
            <w:shd w:fill="EAF1F5" w:color="auto" w:val="clear"/>
            <w:tcMar>
              <w:top w:type="dxa" w:w="90"/>
              <w:left w:type="dxa" w:w="110"/>
              <w:bottom w:type="dxa" w:w="90"/>
              <w:right w:type="dxa" w:w="110"/>
            </w:tcMar>
            <w:vAlign w:val="center"/>
          </w:tcPr>
          <w:p>
            <w:pPr>
              <w:jc w:val="left"/>
            </w:pPr>
            <w:r>
              <w:rPr>
                <w:rFonts w:ascii="Calibri" w:cs="Calibri" w:eastAsia="Calibri" w:hAnsi="Calibri"/>
                <w:b w:val="false"/>
                <w:bCs w:val="false"/>
                <w:i w:val="false"/>
                <w:iCs w:val="false"/>
                <w:color w:val="1A1A1A"/>
                <w:sz w:val="19"/>
                <w:szCs w:val="19"/>
              </w:rPr>
              <w:t xml:space="preserve">Initial antenatal attendance — ≥60min. History, exam, risk assessment, referral decision, pathology/imaging requests. Once per pregnancy.</w:t>
            </w:r>
          </w:p>
        </w:tc>
        <w:tc>
          <w:tcPr>
            <w:tcW w:type="dxa" w:w="1700"/>
            <w:shd w:fill="EAF1F5" w:color="auto" w:val="clear"/>
            <w:tcMar>
              <w:top w:type="dxa" w:w="90"/>
              <w:left w:type="dxa" w:w="110"/>
              <w:bottom w:type="dxa" w:w="90"/>
              <w:right w:type="dxa" w:w="110"/>
            </w:tcMar>
            <w:vAlign w:val="center"/>
          </w:tcPr>
          <w:p>
            <w:pPr>
              <w:jc w:val="left"/>
            </w:pPr>
            <w:r>
              <w:rPr>
                <w:rFonts w:ascii="Calibri" w:cs="Calibri" w:eastAsia="Calibri" w:hAnsi="Calibri"/>
                <w:b w:val="false"/>
                <w:bCs w:val="false"/>
                <w:i w:val="false"/>
                <w:iCs w:val="false"/>
                <w:color w:val="1A1A1A"/>
                <w:sz w:val="19"/>
                <w:szCs w:val="19"/>
              </w:rPr>
              <w:t xml:space="preserve">$89.00</w:t>
            </w:r>
          </w:p>
        </w:tc>
        <w:tc>
          <w:tcPr>
            <w:tcW w:type="dxa" w:w="1900"/>
            <w:shd w:fill="EAF1F5" w:color="auto" w:val="clear"/>
            <w:tcMar>
              <w:top w:type="dxa" w:w="90"/>
              <w:left w:type="dxa" w:w="110"/>
              <w:bottom w:type="dxa" w:w="90"/>
              <w:right w:type="dxa" w:w="110"/>
            </w:tcMar>
            <w:vAlign w:val="center"/>
          </w:tcPr>
          <w:p>
            <w:pPr>
              <w:jc w:val="left"/>
            </w:pPr>
            <w:r>
              <w:rPr>
                <w:rFonts w:ascii="Calibri" w:cs="Calibri" w:eastAsia="Calibri" w:hAnsi="Calibri"/>
                <w:b w:val="false"/>
                <w:bCs w:val="false"/>
                <w:i w:val="false"/>
                <w:iCs w:val="false"/>
                <w:color w:val="1A1A1A"/>
                <w:sz w:val="19"/>
                <w:szCs w:val="19"/>
              </w:rPr>
              <w:t xml:space="preserve">85% = $75.65</w:t>
            </w:r>
          </w:p>
        </w:tc>
        <w:tc>
          <w:tcPr>
            <w:tcW w:type="dxa" w:w="1300"/>
            <w:shd w:fill="EAF1F5" w:color="auto" w:val="clear"/>
            <w:tcMar>
              <w:top w:type="dxa" w:w="90"/>
              <w:left w:type="dxa" w:w="110"/>
              <w:bottom w:type="dxa" w:w="90"/>
              <w:right w:type="dxa" w:w="110"/>
            </w:tcMar>
            <w:vAlign w:val="center"/>
          </w:tcPr>
          <w:p>
            <w:pPr>
              <w:jc w:val="left"/>
            </w:pPr>
            <w:r>
              <w:rPr>
                <w:rFonts w:ascii="Calibri" w:cs="Calibri" w:eastAsia="Calibri" w:hAnsi="Calibri"/>
                <w:b w:val="false"/>
                <w:bCs w:val="false"/>
                <w:i w:val="false"/>
                <w:iCs w:val="false"/>
                <w:color w:val="1A1A1A"/>
                <w:sz w:val="19"/>
                <w:szCs w:val="19"/>
              </w:rPr>
              <w:t xml:space="preserve">$27.30</w:t>
            </w:r>
          </w:p>
        </w:tc>
      </w:tr>
      <w:tr>
        <w:tc>
          <w:tcPr>
            <w:tcW w:type="dxa" w:w="900"/>
            <w:tcMar>
              <w:top w:type="dxa" w:w="90"/>
              <w:left w:type="dxa" w:w="110"/>
              <w:bottom w:type="dxa" w:w="90"/>
              <w:right w:type="dxa" w:w="110"/>
            </w:tcMar>
            <w:vAlign w:val="center"/>
          </w:tcPr>
          <w:p>
            <w:pPr>
              <w:jc w:val="left"/>
            </w:pPr>
            <w:r>
              <w:rPr>
                <w:rFonts w:ascii="Calibri" w:cs="Calibri" w:eastAsia="Calibri" w:hAnsi="Calibri"/>
                <w:b w:val="false"/>
                <w:bCs w:val="false"/>
                <w:i w:val="false"/>
                <w:iCs w:val="false"/>
                <w:color w:val="1A1A1A"/>
                <w:sz w:val="19"/>
                <w:szCs w:val="19"/>
              </w:rPr>
              <w:t xml:space="preserve">82105</w:t>
            </w:r>
          </w:p>
        </w:tc>
        <w:tc>
          <w:tcPr>
            <w:tcW w:type="dxa" w:w="3900"/>
            <w:tcMar>
              <w:top w:type="dxa" w:w="90"/>
              <w:left w:type="dxa" w:w="110"/>
              <w:bottom w:type="dxa" w:w="90"/>
              <w:right w:type="dxa" w:w="110"/>
            </w:tcMar>
            <w:vAlign w:val="center"/>
          </w:tcPr>
          <w:p>
            <w:pPr>
              <w:jc w:val="left"/>
            </w:pPr>
            <w:r>
              <w:rPr>
                <w:rFonts w:ascii="Calibri" w:cs="Calibri" w:eastAsia="Calibri" w:hAnsi="Calibri"/>
                <w:b w:val="false"/>
                <w:bCs w:val="false"/>
                <w:i w:val="false"/>
                <w:iCs w:val="false"/>
                <w:color w:val="1A1A1A"/>
                <w:sz w:val="19"/>
                <w:szCs w:val="19"/>
              </w:rPr>
              <w:t xml:space="preserve">Short antenatal attendance — ≥10min.</w:t>
            </w:r>
          </w:p>
        </w:tc>
        <w:tc>
          <w:tcPr>
            <w:tcW w:type="dxa" w:w="1700"/>
            <w:tcMar>
              <w:top w:type="dxa" w:w="90"/>
              <w:left w:type="dxa" w:w="110"/>
              <w:bottom w:type="dxa" w:w="90"/>
              <w:right w:type="dxa" w:w="110"/>
            </w:tcMar>
            <w:vAlign w:val="center"/>
          </w:tcPr>
          <w:p>
            <w:pPr>
              <w:jc w:val="left"/>
            </w:pPr>
            <w:r>
              <w:rPr>
                <w:rFonts w:ascii="Calibri" w:cs="Calibri" w:eastAsia="Calibri" w:hAnsi="Calibri"/>
                <w:b w:val="false"/>
                <w:bCs w:val="false"/>
                <w:i w:val="false"/>
                <w:iCs w:val="false"/>
                <w:color w:val="1A1A1A"/>
                <w:sz w:val="19"/>
                <w:szCs w:val="19"/>
              </w:rPr>
              <w:t xml:space="preserve">$38.75</w:t>
            </w:r>
          </w:p>
        </w:tc>
        <w:tc>
          <w:tcPr>
            <w:tcW w:type="dxa" w:w="1900"/>
            <w:tcMar>
              <w:top w:type="dxa" w:w="90"/>
              <w:left w:type="dxa" w:w="110"/>
              <w:bottom w:type="dxa" w:w="90"/>
              <w:right w:type="dxa" w:w="110"/>
            </w:tcMar>
            <w:vAlign w:val="center"/>
          </w:tcPr>
          <w:p>
            <w:pPr>
              <w:jc w:val="left"/>
            </w:pPr>
            <w:r>
              <w:rPr>
                <w:rFonts w:ascii="Calibri" w:cs="Calibri" w:eastAsia="Calibri" w:hAnsi="Calibri"/>
                <w:b w:val="false"/>
                <w:bCs w:val="false"/>
                <w:i w:val="false"/>
                <w:iCs w:val="false"/>
                <w:color w:val="1A1A1A"/>
                <w:sz w:val="19"/>
                <w:szCs w:val="19"/>
              </w:rPr>
              <w:t xml:space="preserve">75% = $29.10</w:t>
            </w:r>
            <w:r>
              <w:rPr>
                <w:rFonts w:ascii="Calibri" w:cs="Calibri" w:eastAsia="Calibri" w:hAnsi="Calibri"/>
                <w:sz w:val="19"/>
                <w:szCs w:val="19"/>
              </w:rPr>
              <w:br/>
              <w:t xml:space="preserve"/>
            </w:r>
            <w:r>
              <w:rPr>
                <w:rFonts w:ascii="Calibri" w:cs="Calibri" w:eastAsia="Calibri" w:hAnsi="Calibri"/>
                <w:b w:val="false"/>
                <w:bCs w:val="false"/>
                <w:i w:val="false"/>
                <w:iCs w:val="false"/>
                <w:color w:val="1A1A1A"/>
                <w:sz w:val="19"/>
                <w:szCs w:val="19"/>
              </w:rPr>
              <w:t xml:space="preserve">85% = $32.95</w:t>
            </w:r>
          </w:p>
        </w:tc>
        <w:tc>
          <w:tcPr>
            <w:tcW w:type="dxa" w:w="1300"/>
            <w:tcMar>
              <w:top w:type="dxa" w:w="90"/>
              <w:left w:type="dxa" w:w="110"/>
              <w:bottom w:type="dxa" w:w="90"/>
              <w:right w:type="dxa" w:w="110"/>
            </w:tcMar>
            <w:vAlign w:val="center"/>
          </w:tcPr>
          <w:p>
            <w:pPr>
              <w:jc w:val="left"/>
            </w:pPr>
            <w:r>
              <w:rPr>
                <w:rFonts w:ascii="Calibri" w:cs="Calibri" w:eastAsia="Calibri" w:hAnsi="Calibri"/>
                <w:b w:val="false"/>
                <w:bCs w:val="false"/>
                <w:i w:val="false"/>
                <w:iCs w:val="false"/>
                <w:color w:val="1A1A1A"/>
                <w:sz w:val="19"/>
                <w:szCs w:val="19"/>
              </w:rPr>
              <w:t xml:space="preserve">$20.40</w:t>
            </w:r>
          </w:p>
        </w:tc>
      </w:tr>
      <w:tr>
        <w:tc>
          <w:tcPr>
            <w:tcW w:type="dxa" w:w="900"/>
            <w:shd w:fill="EAF1F5" w:color="auto" w:val="clear"/>
            <w:tcMar>
              <w:top w:type="dxa" w:w="90"/>
              <w:left w:type="dxa" w:w="110"/>
              <w:bottom w:type="dxa" w:w="90"/>
              <w:right w:type="dxa" w:w="110"/>
            </w:tcMar>
            <w:vAlign w:val="center"/>
          </w:tcPr>
          <w:p>
            <w:pPr>
              <w:jc w:val="left"/>
            </w:pPr>
            <w:r>
              <w:rPr>
                <w:rFonts w:ascii="Calibri" w:cs="Calibri" w:eastAsia="Calibri" w:hAnsi="Calibri"/>
                <w:b w:val="false"/>
                <w:bCs w:val="false"/>
                <w:i w:val="false"/>
                <w:iCs w:val="false"/>
                <w:color w:val="1A1A1A"/>
                <w:sz w:val="19"/>
                <w:szCs w:val="19"/>
              </w:rPr>
              <w:t xml:space="preserve">82110</w:t>
            </w:r>
          </w:p>
        </w:tc>
        <w:tc>
          <w:tcPr>
            <w:tcW w:type="dxa" w:w="3900"/>
            <w:shd w:fill="EAF1F5" w:color="auto" w:val="clear"/>
            <w:tcMar>
              <w:top w:type="dxa" w:w="90"/>
              <w:left w:type="dxa" w:w="110"/>
              <w:bottom w:type="dxa" w:w="90"/>
              <w:right w:type="dxa" w:w="110"/>
            </w:tcMar>
            <w:vAlign w:val="center"/>
          </w:tcPr>
          <w:p>
            <w:pPr>
              <w:jc w:val="left"/>
            </w:pPr>
            <w:r>
              <w:rPr>
                <w:rFonts w:ascii="Calibri" w:cs="Calibri" w:eastAsia="Calibri" w:hAnsi="Calibri"/>
                <w:b w:val="false"/>
                <w:bCs w:val="false"/>
                <w:i w:val="false"/>
                <w:iCs w:val="false"/>
                <w:color w:val="1A1A1A"/>
                <w:sz w:val="19"/>
                <w:szCs w:val="19"/>
              </w:rPr>
              <w:t xml:space="preserve">Routine antenatal attendance — ≥40min.</w:t>
            </w:r>
          </w:p>
        </w:tc>
        <w:tc>
          <w:tcPr>
            <w:tcW w:type="dxa" w:w="1700"/>
            <w:shd w:fill="EAF1F5" w:color="auto" w:val="clear"/>
            <w:tcMar>
              <w:top w:type="dxa" w:w="90"/>
              <w:left w:type="dxa" w:w="110"/>
              <w:bottom w:type="dxa" w:w="90"/>
              <w:right w:type="dxa" w:w="110"/>
            </w:tcMar>
            <w:vAlign w:val="center"/>
          </w:tcPr>
          <w:p>
            <w:pPr>
              <w:jc w:val="left"/>
            </w:pPr>
            <w:r>
              <w:rPr>
                <w:rFonts w:ascii="Calibri" w:cs="Calibri" w:eastAsia="Calibri" w:hAnsi="Calibri"/>
                <w:b w:val="false"/>
                <w:bCs w:val="false"/>
                <w:i w:val="false"/>
                <w:iCs w:val="false"/>
                <w:color w:val="1A1A1A"/>
                <w:sz w:val="19"/>
                <w:szCs w:val="19"/>
              </w:rPr>
              <w:t xml:space="preserve">$89.00</w:t>
            </w:r>
          </w:p>
        </w:tc>
        <w:tc>
          <w:tcPr>
            <w:tcW w:type="dxa" w:w="1900"/>
            <w:shd w:fill="EAF1F5" w:color="auto" w:val="clear"/>
            <w:tcMar>
              <w:top w:type="dxa" w:w="90"/>
              <w:left w:type="dxa" w:w="110"/>
              <w:bottom w:type="dxa" w:w="90"/>
              <w:right w:type="dxa" w:w="110"/>
            </w:tcMar>
            <w:vAlign w:val="center"/>
          </w:tcPr>
          <w:p>
            <w:pPr>
              <w:jc w:val="left"/>
            </w:pPr>
            <w:r>
              <w:rPr>
                <w:rFonts w:ascii="Calibri" w:cs="Calibri" w:eastAsia="Calibri" w:hAnsi="Calibri"/>
                <w:b w:val="false"/>
                <w:bCs w:val="false"/>
                <w:i w:val="false"/>
                <w:iCs w:val="false"/>
                <w:color w:val="1A1A1A"/>
                <w:sz w:val="19"/>
                <w:szCs w:val="19"/>
              </w:rPr>
              <w:t xml:space="preserve">75% = $66.75</w:t>
            </w:r>
            <w:r>
              <w:rPr>
                <w:rFonts w:ascii="Calibri" w:cs="Calibri" w:eastAsia="Calibri" w:hAnsi="Calibri"/>
                <w:sz w:val="19"/>
                <w:szCs w:val="19"/>
              </w:rPr>
              <w:br/>
              <w:t xml:space="preserve"/>
            </w:r>
            <w:r>
              <w:rPr>
                <w:rFonts w:ascii="Calibri" w:cs="Calibri" w:eastAsia="Calibri" w:hAnsi="Calibri"/>
                <w:b w:val="false"/>
                <w:bCs w:val="false"/>
                <w:i w:val="false"/>
                <w:iCs w:val="false"/>
                <w:color w:val="1A1A1A"/>
                <w:sz w:val="19"/>
                <w:szCs w:val="19"/>
              </w:rPr>
              <w:t xml:space="preserve">85% = $75.65</w:t>
            </w:r>
          </w:p>
        </w:tc>
        <w:tc>
          <w:tcPr>
            <w:tcW w:type="dxa" w:w="1300"/>
            <w:shd w:fill="EAF1F5" w:color="auto" w:val="clear"/>
            <w:tcMar>
              <w:top w:type="dxa" w:w="90"/>
              <w:left w:type="dxa" w:w="110"/>
              <w:bottom w:type="dxa" w:w="90"/>
              <w:right w:type="dxa" w:w="110"/>
            </w:tcMar>
            <w:vAlign w:val="center"/>
          </w:tcPr>
          <w:p>
            <w:pPr>
              <w:jc w:val="left"/>
            </w:pPr>
            <w:r>
              <w:rPr>
                <w:rFonts w:ascii="Calibri" w:cs="Calibri" w:eastAsia="Calibri" w:hAnsi="Calibri"/>
                <w:b w:val="false"/>
                <w:bCs w:val="false"/>
                <w:i w:val="false"/>
                <w:iCs w:val="false"/>
                <w:color w:val="1A1A1A"/>
                <w:sz w:val="19"/>
                <w:szCs w:val="19"/>
              </w:rPr>
              <w:t xml:space="preserve">$27.30</w:t>
            </w:r>
          </w:p>
        </w:tc>
      </w:tr>
      <w:tr>
        <w:tc>
          <w:tcPr>
            <w:tcW w:type="dxa" w:w="900"/>
            <w:tcMar>
              <w:top w:type="dxa" w:w="90"/>
              <w:left w:type="dxa" w:w="110"/>
              <w:bottom w:type="dxa" w:w="90"/>
              <w:right w:type="dxa" w:w="110"/>
            </w:tcMar>
            <w:vAlign w:val="center"/>
          </w:tcPr>
          <w:p>
            <w:pPr>
              <w:jc w:val="left"/>
            </w:pPr>
            <w:r>
              <w:rPr>
                <w:rFonts w:ascii="Calibri" w:cs="Calibri" w:eastAsia="Calibri" w:hAnsi="Calibri"/>
                <w:b w:val="false"/>
                <w:bCs w:val="false"/>
                <w:i w:val="false"/>
                <w:iCs w:val="false"/>
                <w:color w:val="1A1A1A"/>
                <w:sz w:val="19"/>
                <w:szCs w:val="19"/>
              </w:rPr>
              <w:t xml:space="preserve">82102</w:t>
            </w:r>
          </w:p>
        </w:tc>
        <w:tc>
          <w:tcPr>
            <w:tcW w:type="dxa" w:w="3900"/>
            <w:tcMar>
              <w:top w:type="dxa" w:w="90"/>
              <w:left w:type="dxa" w:w="110"/>
              <w:bottom w:type="dxa" w:w="90"/>
              <w:right w:type="dxa" w:w="110"/>
            </w:tcMar>
            <w:vAlign w:val="center"/>
          </w:tcPr>
          <w:p>
            <w:pPr>
              <w:jc w:val="left"/>
            </w:pPr>
            <w:r>
              <w:rPr>
                <w:rFonts w:ascii="Calibri" w:cs="Calibri" w:eastAsia="Calibri" w:hAnsi="Calibri"/>
                <w:b w:val="false"/>
                <w:bCs w:val="false"/>
                <w:i w:val="false"/>
                <w:iCs w:val="false"/>
                <w:color w:val="1A1A1A"/>
                <w:sz w:val="19"/>
                <w:szCs w:val="19"/>
              </w:rPr>
              <w:t xml:space="preserve">Long antenatal attendance — ≥90min.</w:t>
            </w:r>
          </w:p>
        </w:tc>
        <w:tc>
          <w:tcPr>
            <w:tcW w:type="dxa" w:w="1700"/>
            <w:tcMar>
              <w:top w:type="dxa" w:w="90"/>
              <w:left w:type="dxa" w:w="110"/>
              <w:bottom w:type="dxa" w:w="90"/>
              <w:right w:type="dxa" w:w="110"/>
            </w:tcMar>
            <w:vAlign w:val="center"/>
          </w:tcPr>
          <w:p>
            <w:pPr>
              <w:jc w:val="left"/>
            </w:pPr>
            <w:r>
              <w:rPr>
                <w:rFonts w:ascii="Calibri" w:cs="Calibri" w:eastAsia="Calibri" w:hAnsi="Calibri"/>
                <w:b w:val="false"/>
                <w:bCs w:val="false"/>
                <w:i w:val="false"/>
                <w:iCs w:val="false"/>
                <w:color w:val="1A1A1A"/>
                <w:sz w:val="19"/>
                <w:szCs w:val="19"/>
              </w:rPr>
              <w:t xml:space="preserve">$133.45</w:t>
            </w:r>
          </w:p>
        </w:tc>
        <w:tc>
          <w:tcPr>
            <w:tcW w:type="dxa" w:w="1900"/>
            <w:tcMar>
              <w:top w:type="dxa" w:w="90"/>
              <w:left w:type="dxa" w:w="110"/>
              <w:bottom w:type="dxa" w:w="90"/>
              <w:right w:type="dxa" w:w="110"/>
            </w:tcMar>
            <w:vAlign w:val="center"/>
          </w:tcPr>
          <w:p>
            <w:pPr>
              <w:jc w:val="left"/>
            </w:pPr>
            <w:r>
              <w:rPr>
                <w:rFonts w:ascii="Calibri" w:cs="Calibri" w:eastAsia="Calibri" w:hAnsi="Calibri"/>
                <w:b w:val="false"/>
                <w:bCs w:val="false"/>
                <w:i w:val="false"/>
                <w:iCs w:val="false"/>
                <w:color w:val="1A1A1A"/>
                <w:sz w:val="19"/>
                <w:szCs w:val="19"/>
              </w:rPr>
              <w:t xml:space="preserve">75% = $100.10</w:t>
            </w:r>
            <w:r>
              <w:rPr>
                <w:rFonts w:ascii="Calibri" w:cs="Calibri" w:eastAsia="Calibri" w:hAnsi="Calibri"/>
                <w:sz w:val="19"/>
                <w:szCs w:val="19"/>
              </w:rPr>
              <w:br/>
              <w:t xml:space="preserve"/>
            </w:r>
            <w:r>
              <w:rPr>
                <w:rFonts w:ascii="Calibri" w:cs="Calibri" w:eastAsia="Calibri" w:hAnsi="Calibri"/>
                <w:b w:val="false"/>
                <w:bCs w:val="false"/>
                <w:i w:val="false"/>
                <w:iCs w:val="false"/>
                <w:color w:val="1A1A1A"/>
                <w:sz w:val="19"/>
                <w:szCs w:val="19"/>
              </w:rPr>
              <w:t xml:space="preserve">85% = $113.45</w:t>
            </w:r>
          </w:p>
        </w:tc>
        <w:tc>
          <w:tcPr>
            <w:tcW w:type="dxa" w:w="1300"/>
            <w:tcMar>
              <w:top w:type="dxa" w:w="90"/>
              <w:left w:type="dxa" w:w="110"/>
              <w:bottom w:type="dxa" w:w="90"/>
              <w:right w:type="dxa" w:w="110"/>
            </w:tcMar>
            <w:vAlign w:val="center"/>
          </w:tcPr>
          <w:p>
            <w:pPr>
              <w:jc w:val="left"/>
            </w:pPr>
            <w:r>
              <w:rPr>
                <w:rFonts w:ascii="Calibri" w:cs="Calibri" w:eastAsia="Calibri" w:hAnsi="Calibri"/>
                <w:b w:val="false"/>
                <w:bCs w:val="false"/>
                <w:i w:val="false"/>
                <w:iCs w:val="false"/>
                <w:color w:val="1A1A1A"/>
                <w:sz w:val="19"/>
                <w:szCs w:val="19"/>
              </w:rPr>
              <w:t xml:space="preserve">—</w:t>
            </w:r>
          </w:p>
        </w:tc>
      </w:tr>
      <w:tr>
        <w:tc>
          <w:tcPr>
            <w:tcW w:type="dxa" w:w="900"/>
            <w:shd w:fill="EAF1F5" w:color="auto" w:val="clear"/>
            <w:tcMar>
              <w:top w:type="dxa" w:w="90"/>
              <w:left w:type="dxa" w:w="110"/>
              <w:bottom w:type="dxa" w:w="90"/>
              <w:right w:type="dxa" w:w="110"/>
            </w:tcMar>
            <w:vAlign w:val="center"/>
          </w:tcPr>
          <w:p>
            <w:pPr>
              <w:jc w:val="left"/>
            </w:pPr>
            <w:r>
              <w:rPr>
                <w:rFonts w:ascii="Calibri" w:cs="Calibri" w:eastAsia="Calibri" w:hAnsi="Calibri"/>
                <w:b w:val="false"/>
                <w:bCs w:val="false"/>
                <w:i w:val="false"/>
                <w:iCs w:val="false"/>
                <w:color w:val="1A1A1A"/>
                <w:sz w:val="19"/>
                <w:szCs w:val="19"/>
              </w:rPr>
              <w:t xml:space="preserve">82103</w:t>
            </w:r>
          </w:p>
        </w:tc>
        <w:tc>
          <w:tcPr>
            <w:tcW w:type="dxa" w:w="3900"/>
            <w:shd w:fill="EAF1F5" w:color="auto" w:val="clear"/>
            <w:tcMar>
              <w:top w:type="dxa" w:w="90"/>
              <w:left w:type="dxa" w:w="110"/>
              <w:bottom w:type="dxa" w:w="90"/>
              <w:right w:type="dxa" w:w="110"/>
            </w:tcMar>
            <w:vAlign w:val="center"/>
          </w:tcPr>
          <w:p>
            <w:pPr>
              <w:jc w:val="left"/>
            </w:pPr>
            <w:r>
              <w:rPr>
                <w:rFonts w:ascii="Calibri" w:cs="Calibri" w:eastAsia="Calibri" w:hAnsi="Calibri"/>
                <w:b w:val="false"/>
                <w:bCs w:val="false"/>
                <w:i w:val="false"/>
                <w:iCs w:val="false"/>
                <w:color w:val="1A1A1A"/>
                <w:sz w:val="19"/>
                <w:szCs w:val="19"/>
              </w:rPr>
              <w:t xml:space="preserve">Complex antenatal attendance leading to hospital admission — ≥3hrs. Max 3 services per pregnancy. Excludes association with intrapartum items 82116–82127.</w:t>
            </w:r>
          </w:p>
        </w:tc>
        <w:tc>
          <w:tcPr>
            <w:tcW w:type="dxa" w:w="1700"/>
            <w:shd w:fill="EAF1F5" w:color="auto" w:val="clear"/>
            <w:tcMar>
              <w:top w:type="dxa" w:w="90"/>
              <w:left w:type="dxa" w:w="110"/>
              <w:bottom w:type="dxa" w:w="90"/>
              <w:right w:type="dxa" w:w="110"/>
            </w:tcMar>
            <w:vAlign w:val="center"/>
          </w:tcPr>
          <w:p>
            <w:pPr>
              <w:jc w:val="left"/>
            </w:pPr>
            <w:r>
              <w:rPr>
                <w:rFonts w:ascii="Calibri" w:cs="Calibri" w:eastAsia="Calibri" w:hAnsi="Calibri"/>
                <w:b w:val="false"/>
                <w:bCs w:val="false"/>
                <w:i w:val="false"/>
                <w:iCs w:val="false"/>
                <w:color w:val="1A1A1A"/>
                <w:sz w:val="19"/>
                <w:szCs w:val="19"/>
              </w:rPr>
              <w:t xml:space="preserve">$246.05</w:t>
            </w:r>
          </w:p>
        </w:tc>
        <w:tc>
          <w:tcPr>
            <w:tcW w:type="dxa" w:w="1900"/>
            <w:shd w:fill="EAF1F5" w:color="auto" w:val="clear"/>
            <w:tcMar>
              <w:top w:type="dxa" w:w="90"/>
              <w:left w:type="dxa" w:w="110"/>
              <w:bottom w:type="dxa" w:w="90"/>
              <w:right w:type="dxa" w:w="110"/>
            </w:tcMar>
            <w:vAlign w:val="center"/>
          </w:tcPr>
          <w:p>
            <w:pPr>
              <w:jc w:val="left"/>
            </w:pPr>
            <w:r>
              <w:rPr>
                <w:rFonts w:ascii="Calibri" w:cs="Calibri" w:eastAsia="Calibri" w:hAnsi="Calibri"/>
                <w:b w:val="false"/>
                <w:bCs w:val="false"/>
                <w:i w:val="false"/>
                <w:iCs w:val="false"/>
                <w:color w:val="1A1A1A"/>
                <w:sz w:val="19"/>
                <w:szCs w:val="19"/>
              </w:rPr>
              <w:t xml:space="preserve">75% = $184.55</w:t>
            </w:r>
          </w:p>
        </w:tc>
        <w:tc>
          <w:tcPr>
            <w:tcW w:type="dxa" w:w="1300"/>
            <w:shd w:fill="EAF1F5" w:color="auto" w:val="clear"/>
            <w:tcMar>
              <w:top w:type="dxa" w:w="90"/>
              <w:left w:type="dxa" w:w="110"/>
              <w:bottom w:type="dxa" w:w="90"/>
              <w:right w:type="dxa" w:w="110"/>
            </w:tcMar>
            <w:vAlign w:val="center"/>
          </w:tcPr>
          <w:p>
            <w:pPr>
              <w:jc w:val="left"/>
            </w:pPr>
            <w:r>
              <w:rPr>
                <w:rFonts w:ascii="Calibri" w:cs="Calibri" w:eastAsia="Calibri" w:hAnsi="Calibri"/>
                <w:b w:val="false"/>
                <w:bCs w:val="false"/>
                <w:i w:val="false"/>
                <w:iCs w:val="false"/>
                <w:color w:val="1A1A1A"/>
                <w:sz w:val="19"/>
                <w:szCs w:val="19"/>
              </w:rPr>
              <w:t xml:space="preserve">—</w:t>
            </w:r>
          </w:p>
        </w:tc>
      </w:tr>
    </w:tbl>
    <w:p>
      <w:pPr>
        <w:spacing w:after="220"/>
      </w:pPr>
    </w:p>
    <w:p>
      <w:pPr>
        <w:pStyle w:val="Heading2"/>
        <w:spacing w:after="140" w:before="340"/>
      </w:pPr>
      <w:r>
        <w:rPr>
          <w:rFonts w:ascii="Calibri" w:cs="Calibri" w:eastAsia="Calibri" w:hAnsi="Calibri"/>
          <w:b/>
          <w:bCs/>
          <w:color w:val="3F6C8A"/>
          <w:sz w:val="24"/>
          <w:szCs w:val="24"/>
        </w:rPr>
        <w:t xml:space="preserve">3.2 — Maternity care plan</w:t>
      </w:r>
    </w:p>
    <w:tbl>
      <w:tblPr>
        <w:tblW w:type="dxa" w:w="9700"/>
        <w:tblBorders>
          <w:top w:val="single" w:color="C7D3D9" w:sz="4"/>
          <w:left w:val="single" w:color="C7D3D9" w:sz="4"/>
          <w:bottom w:val="single" w:color="C7D3D9" w:sz="4"/>
          <w:right w:val="single" w:color="C7D3D9" w:sz="4"/>
          <w:insideH w:val="single" w:color="C7D3D9" w:sz="4"/>
          <w:insideV w:val="single" w:color="C7D3D9" w:sz="4"/>
        </w:tblBorders>
      </w:tblPr>
      <w:tblGrid>
        <w:gridCol w:w="900"/>
        <w:gridCol w:w="3900"/>
        <w:gridCol w:w="1700"/>
        <w:gridCol w:w="1900"/>
        <w:gridCol w:w="1300"/>
      </w:tblGrid>
      <w:tr>
        <w:trPr>
          <w:tblHeader/>
        </w:trPr>
        <w:tc>
          <w:tcPr>
            <w:tcW w:type="dxa" w:w="900"/>
            <w:shd w:fill="1F3A52" w:color="auto" w:val="clear"/>
            <w:tcMar>
              <w:top w:type="dxa" w:w="90"/>
              <w:left w:type="dxa" w:w="110"/>
              <w:bottom w:type="dxa" w:w="90"/>
              <w:right w:type="dxa" w:w="110"/>
            </w:tcMar>
            <w:vAlign w:val="center"/>
          </w:tcPr>
          <w:p>
            <w:pPr>
              <w:jc w:val="left"/>
            </w:pPr>
            <w:r>
              <w:rPr>
                <w:rFonts w:ascii="Calibri" w:cs="Calibri" w:eastAsia="Calibri" w:hAnsi="Calibri"/>
                <w:b/>
                <w:bCs/>
                <w:i w:val="false"/>
                <w:iCs w:val="false"/>
                <w:color w:val="FFFFFF"/>
                <w:sz w:val="19"/>
                <w:szCs w:val="19"/>
              </w:rPr>
              <w:t xml:space="preserve">Item</w:t>
            </w:r>
          </w:p>
        </w:tc>
        <w:tc>
          <w:tcPr>
            <w:tcW w:type="dxa" w:w="3900"/>
            <w:shd w:fill="1F3A52" w:color="auto" w:val="clear"/>
            <w:tcMar>
              <w:top w:type="dxa" w:w="90"/>
              <w:left w:type="dxa" w:w="110"/>
              <w:bottom w:type="dxa" w:w="90"/>
              <w:right w:type="dxa" w:w="110"/>
            </w:tcMar>
            <w:vAlign w:val="center"/>
          </w:tcPr>
          <w:p>
            <w:pPr>
              <w:jc w:val="left"/>
            </w:pPr>
            <w:r>
              <w:rPr>
                <w:rFonts w:ascii="Calibri" w:cs="Calibri" w:eastAsia="Calibri" w:hAnsi="Calibri"/>
                <w:b/>
                <w:bCs/>
                <w:i w:val="false"/>
                <w:iCs w:val="false"/>
                <w:color w:val="FFFFFF"/>
                <w:sz w:val="19"/>
                <w:szCs w:val="19"/>
              </w:rPr>
              <w:t xml:space="preserve">Description</w:t>
            </w:r>
          </w:p>
        </w:tc>
        <w:tc>
          <w:tcPr>
            <w:tcW w:type="dxa" w:w="1700"/>
            <w:shd w:fill="1F3A52" w:color="auto" w:val="clear"/>
            <w:tcMar>
              <w:top w:type="dxa" w:w="90"/>
              <w:left w:type="dxa" w:w="110"/>
              <w:bottom w:type="dxa" w:w="90"/>
              <w:right w:type="dxa" w:w="110"/>
            </w:tcMar>
            <w:vAlign w:val="center"/>
          </w:tcPr>
          <w:p>
            <w:pPr>
              <w:jc w:val="left"/>
            </w:pPr>
            <w:r>
              <w:rPr>
                <w:rFonts w:ascii="Calibri" w:cs="Calibri" w:eastAsia="Calibri" w:hAnsi="Calibri"/>
                <w:b/>
                <w:bCs/>
                <w:i w:val="false"/>
                <w:iCs w:val="false"/>
                <w:color w:val="FFFFFF"/>
                <w:sz w:val="19"/>
                <w:szCs w:val="19"/>
              </w:rPr>
              <w:t xml:space="preserve">Fee (AUD)</w:t>
            </w:r>
          </w:p>
        </w:tc>
        <w:tc>
          <w:tcPr>
            <w:tcW w:type="dxa" w:w="1900"/>
            <w:shd w:fill="1F3A52" w:color="auto" w:val="clear"/>
            <w:tcMar>
              <w:top w:type="dxa" w:w="90"/>
              <w:left w:type="dxa" w:w="110"/>
              <w:bottom w:type="dxa" w:w="90"/>
              <w:right w:type="dxa" w:w="110"/>
            </w:tcMar>
            <w:vAlign w:val="center"/>
          </w:tcPr>
          <w:p>
            <w:pPr>
              <w:jc w:val="left"/>
            </w:pPr>
            <w:r>
              <w:rPr>
                <w:rFonts w:ascii="Calibri" w:cs="Calibri" w:eastAsia="Calibri" w:hAnsi="Calibri"/>
                <w:b/>
                <w:bCs/>
                <w:i w:val="false"/>
                <w:iCs w:val="false"/>
                <w:color w:val="FFFFFF"/>
                <w:sz w:val="19"/>
                <w:szCs w:val="19"/>
              </w:rPr>
              <w:t xml:space="preserve">Benefit</w:t>
            </w:r>
          </w:p>
        </w:tc>
        <w:tc>
          <w:tcPr>
            <w:tcW w:type="dxa" w:w="1300"/>
            <w:shd w:fill="1F3A52" w:color="auto" w:val="clear"/>
            <w:tcMar>
              <w:top w:type="dxa" w:w="90"/>
              <w:left w:type="dxa" w:w="110"/>
              <w:bottom w:type="dxa" w:w="90"/>
              <w:right w:type="dxa" w:w="110"/>
            </w:tcMar>
            <w:vAlign w:val="center"/>
          </w:tcPr>
          <w:p>
            <w:pPr>
              <w:jc w:val="left"/>
            </w:pPr>
            <w:r>
              <w:rPr>
                <w:rFonts w:ascii="Calibri" w:cs="Calibri" w:eastAsia="Calibri" w:hAnsi="Calibri"/>
                <w:b/>
                <w:bCs/>
                <w:i w:val="false"/>
                <w:iCs w:val="false"/>
                <w:color w:val="FFFFFF"/>
                <w:sz w:val="19"/>
                <w:szCs w:val="19"/>
              </w:rPr>
              <w:t xml:space="preserve">EMSN cap</w:t>
            </w:r>
          </w:p>
        </w:tc>
      </w:tr>
      <w:tr>
        <w:tc>
          <w:tcPr>
            <w:tcW w:type="dxa" w:w="900"/>
            <w:shd w:fill="EAF1F5" w:color="auto" w:val="clear"/>
            <w:tcMar>
              <w:top w:type="dxa" w:w="90"/>
              <w:left w:type="dxa" w:w="110"/>
              <w:bottom w:type="dxa" w:w="90"/>
              <w:right w:type="dxa" w:w="110"/>
            </w:tcMar>
            <w:vAlign w:val="center"/>
          </w:tcPr>
          <w:p>
            <w:pPr>
              <w:jc w:val="left"/>
            </w:pPr>
            <w:r>
              <w:rPr>
                <w:rFonts w:ascii="Calibri" w:cs="Calibri" w:eastAsia="Calibri" w:hAnsi="Calibri"/>
                <w:b w:val="false"/>
                <w:bCs w:val="false"/>
                <w:i w:val="false"/>
                <w:iCs w:val="false"/>
                <w:color w:val="1A1A1A"/>
                <w:sz w:val="19"/>
                <w:szCs w:val="19"/>
              </w:rPr>
              <w:t xml:space="preserve">82115</w:t>
            </w:r>
          </w:p>
        </w:tc>
        <w:tc>
          <w:tcPr>
            <w:tcW w:type="dxa" w:w="3900"/>
            <w:shd w:fill="EAF1F5" w:color="auto" w:val="clear"/>
            <w:tcMar>
              <w:top w:type="dxa" w:w="90"/>
              <w:left w:type="dxa" w:w="110"/>
              <w:bottom w:type="dxa" w:w="90"/>
              <w:right w:type="dxa" w:w="110"/>
            </w:tcMar>
            <w:vAlign w:val="center"/>
          </w:tcPr>
          <w:p>
            <w:pPr>
              <w:jc w:val="left"/>
            </w:pPr>
            <w:r>
              <w:rPr>
                <w:rFonts w:ascii="Calibri" w:cs="Calibri" w:eastAsia="Calibri" w:hAnsi="Calibri"/>
                <w:b w:val="false"/>
                <w:bCs w:val="false"/>
                <w:i w:val="false"/>
                <w:iCs w:val="false"/>
                <w:color w:val="1A1A1A"/>
                <w:sz w:val="19"/>
                <w:szCs w:val="19"/>
              </w:rPr>
              <w:t xml:space="preserve">Maternity care plan — ≥90min. &gt;28wks gestation; requires ≥2 antenatal attendances with the claiming midwife in the preceding 6 months. Not an admitted patient. Once per pregnancy. Cannot be claimed if 16590 or 16591 already claimed for the same pregnancy (except exceptional circumstances, e.g. significant clinical change).</w:t>
            </w:r>
          </w:p>
        </w:tc>
        <w:tc>
          <w:tcPr>
            <w:tcW w:type="dxa" w:w="1700"/>
            <w:shd w:fill="EAF1F5" w:color="auto" w:val="clear"/>
            <w:tcMar>
              <w:top w:type="dxa" w:w="90"/>
              <w:left w:type="dxa" w:w="110"/>
              <w:bottom w:type="dxa" w:w="90"/>
              <w:right w:type="dxa" w:w="110"/>
            </w:tcMar>
            <w:vAlign w:val="center"/>
          </w:tcPr>
          <w:p>
            <w:pPr>
              <w:jc w:val="left"/>
            </w:pPr>
            <w:r>
              <w:rPr>
                <w:rFonts w:ascii="Calibri" w:cs="Calibri" w:eastAsia="Calibri" w:hAnsi="Calibri"/>
                <w:b w:val="false"/>
                <w:bCs w:val="false"/>
                <w:i w:val="false"/>
                <w:iCs w:val="false"/>
                <w:color w:val="1A1A1A"/>
                <w:sz w:val="19"/>
                <w:szCs w:val="19"/>
              </w:rPr>
              <w:t xml:space="preserve">$381.75</w:t>
            </w:r>
          </w:p>
        </w:tc>
        <w:tc>
          <w:tcPr>
            <w:tcW w:type="dxa" w:w="1900"/>
            <w:shd w:fill="EAF1F5" w:color="auto" w:val="clear"/>
            <w:tcMar>
              <w:top w:type="dxa" w:w="90"/>
              <w:left w:type="dxa" w:w="110"/>
              <w:bottom w:type="dxa" w:w="90"/>
              <w:right w:type="dxa" w:w="110"/>
            </w:tcMar>
            <w:vAlign w:val="center"/>
          </w:tcPr>
          <w:p>
            <w:pPr>
              <w:jc w:val="left"/>
            </w:pPr>
            <w:r>
              <w:rPr>
                <w:rFonts w:ascii="Calibri" w:cs="Calibri" w:eastAsia="Calibri" w:hAnsi="Calibri"/>
                <w:b w:val="false"/>
                <w:bCs w:val="false"/>
                <w:i w:val="false"/>
                <w:iCs w:val="false"/>
                <w:color w:val="1A1A1A"/>
                <w:sz w:val="19"/>
                <w:szCs w:val="19"/>
              </w:rPr>
              <w:t xml:space="preserve">85% = $324.50</w:t>
            </w:r>
          </w:p>
        </w:tc>
        <w:tc>
          <w:tcPr>
            <w:tcW w:type="dxa" w:w="1300"/>
            <w:shd w:fill="EAF1F5" w:color="auto" w:val="clear"/>
            <w:tcMar>
              <w:top w:type="dxa" w:w="90"/>
              <w:left w:type="dxa" w:w="110"/>
              <w:bottom w:type="dxa" w:w="90"/>
              <w:right w:type="dxa" w:w="110"/>
            </w:tcMar>
            <w:vAlign w:val="center"/>
          </w:tcPr>
          <w:p>
            <w:pPr>
              <w:jc w:val="left"/>
            </w:pPr>
            <w:r>
              <w:rPr>
                <w:rFonts w:ascii="Calibri" w:cs="Calibri" w:eastAsia="Calibri" w:hAnsi="Calibri"/>
                <w:b w:val="false"/>
                <w:bCs w:val="false"/>
                <w:i w:val="false"/>
                <w:iCs w:val="false"/>
                <w:color w:val="1A1A1A"/>
                <w:sz w:val="19"/>
                <w:szCs w:val="19"/>
              </w:rPr>
              <w:t xml:space="preserve">$68.20</w:t>
            </w:r>
          </w:p>
        </w:tc>
      </w:tr>
    </w:tbl>
    <w:p>
      <w:pPr>
        <w:spacing w:after="220"/>
      </w:pPr>
    </w:p>
    <w:p>
      <w:pPr>
        <w:pStyle w:val="Heading2"/>
        <w:spacing w:after="140" w:before="340"/>
      </w:pPr>
      <w:r>
        <w:rPr>
          <w:rFonts w:ascii="Calibri" w:cs="Calibri" w:eastAsia="Calibri" w:hAnsi="Calibri"/>
          <w:b/>
          <w:bCs/>
          <w:color w:val="3F6C8A"/>
          <w:sz w:val="24"/>
          <w:szCs w:val="24"/>
        </w:rPr>
        <w:t xml:space="preserve">3.3 — Intrapartum (labour management)</w:t>
      </w:r>
    </w:p>
    <w:p>
      <w:pPr>
        <w:spacing w:after="160" w:line="276"/>
      </w:pPr>
      <w:r>
        <w:rPr>
          <w:rFonts w:ascii="Calibri" w:cs="Calibri" w:eastAsia="Calibri" w:hAnsi="Calibri"/>
          <w:color w:val="1A1A1A"/>
          <w:sz w:val="21"/>
          <w:szCs w:val="21"/>
        </w:rPr>
        <w:t xml:space="preserve">Each attending midwife bills their own item, capped at one duration tier (≤6hrs or 6–12hrs, never both), and each requires the continuity gate below. A third midwife (82127) may only bill where a practice-linked second midwife has already billed 82123.</w:t>
      </w:r>
    </w:p>
    <w:tbl>
      <w:tblPr>
        <w:tblW w:type="dxa" w:w="9700"/>
        <w:tblBorders>
          <w:top w:val="single" w:color="C7D3D9" w:sz="4"/>
          <w:left w:val="single" w:color="C7D3D9" w:sz="4"/>
          <w:bottom w:val="single" w:color="C7D3D9" w:sz="4"/>
          <w:right w:val="single" w:color="C7D3D9" w:sz="4"/>
          <w:insideH w:val="single" w:color="C7D3D9" w:sz="4"/>
          <w:insideV w:val="single" w:color="C7D3D9" w:sz="4"/>
        </w:tblBorders>
      </w:tblPr>
      <w:tblGrid>
        <w:gridCol w:w="900"/>
        <w:gridCol w:w="4700"/>
        <w:gridCol w:w="1100"/>
        <w:gridCol w:w="1600"/>
        <w:gridCol w:w="1400"/>
      </w:tblGrid>
      <w:tr>
        <w:trPr>
          <w:tblHeader/>
        </w:trPr>
        <w:tc>
          <w:tcPr>
            <w:tcW w:type="dxa" w:w="900"/>
            <w:shd w:fill="1F3A52" w:color="auto" w:val="clear"/>
            <w:tcMar>
              <w:top w:type="dxa" w:w="90"/>
              <w:left w:type="dxa" w:w="110"/>
              <w:bottom w:type="dxa" w:w="90"/>
              <w:right w:type="dxa" w:w="110"/>
            </w:tcMar>
            <w:vAlign w:val="center"/>
          </w:tcPr>
          <w:p>
            <w:pPr>
              <w:jc w:val="left"/>
            </w:pPr>
            <w:r>
              <w:rPr>
                <w:rFonts w:ascii="Calibri" w:cs="Calibri" w:eastAsia="Calibri" w:hAnsi="Calibri"/>
                <w:b/>
                <w:bCs/>
                <w:i w:val="false"/>
                <w:iCs w:val="false"/>
                <w:color w:val="FFFFFF"/>
                <w:sz w:val="19"/>
                <w:szCs w:val="19"/>
              </w:rPr>
              <w:t xml:space="preserve">Item</w:t>
            </w:r>
          </w:p>
        </w:tc>
        <w:tc>
          <w:tcPr>
            <w:tcW w:type="dxa" w:w="4700"/>
            <w:shd w:fill="1F3A52" w:color="auto" w:val="clear"/>
            <w:tcMar>
              <w:top w:type="dxa" w:w="90"/>
              <w:left w:type="dxa" w:w="110"/>
              <w:bottom w:type="dxa" w:w="90"/>
              <w:right w:type="dxa" w:w="110"/>
            </w:tcMar>
            <w:vAlign w:val="center"/>
          </w:tcPr>
          <w:p>
            <w:pPr>
              <w:jc w:val="left"/>
            </w:pPr>
            <w:r>
              <w:rPr>
                <w:rFonts w:ascii="Calibri" w:cs="Calibri" w:eastAsia="Calibri" w:hAnsi="Calibri"/>
                <w:b/>
                <w:bCs/>
                <w:i w:val="false"/>
                <w:iCs w:val="false"/>
                <w:color w:val="FFFFFF"/>
                <w:sz w:val="19"/>
                <w:szCs w:val="19"/>
              </w:rPr>
              <w:t xml:space="preserve">Description</w:t>
            </w:r>
          </w:p>
        </w:tc>
        <w:tc>
          <w:tcPr>
            <w:tcW w:type="dxa" w:w="1100"/>
            <w:shd w:fill="1F3A52" w:color="auto" w:val="clear"/>
            <w:tcMar>
              <w:top w:type="dxa" w:w="90"/>
              <w:left w:type="dxa" w:w="110"/>
              <w:bottom w:type="dxa" w:w="90"/>
              <w:right w:type="dxa" w:w="110"/>
            </w:tcMar>
            <w:vAlign w:val="center"/>
          </w:tcPr>
          <w:p>
            <w:pPr>
              <w:jc w:val="left"/>
            </w:pPr>
            <w:r>
              <w:rPr>
                <w:rFonts w:ascii="Calibri" w:cs="Calibri" w:eastAsia="Calibri" w:hAnsi="Calibri"/>
                <w:b/>
                <w:bCs/>
                <w:i w:val="false"/>
                <w:iCs w:val="false"/>
                <w:color w:val="FFFFFF"/>
                <w:sz w:val="19"/>
                <w:szCs w:val="19"/>
              </w:rPr>
              <w:t xml:space="preserve">Duration</w:t>
            </w:r>
          </w:p>
        </w:tc>
        <w:tc>
          <w:tcPr>
            <w:tcW w:type="dxa" w:w="1600"/>
            <w:shd w:fill="1F3A52" w:color="auto" w:val="clear"/>
            <w:tcMar>
              <w:top w:type="dxa" w:w="90"/>
              <w:left w:type="dxa" w:w="110"/>
              <w:bottom w:type="dxa" w:w="90"/>
              <w:right w:type="dxa" w:w="110"/>
            </w:tcMar>
            <w:vAlign w:val="center"/>
          </w:tcPr>
          <w:p>
            <w:pPr>
              <w:jc w:val="left"/>
            </w:pPr>
            <w:r>
              <w:rPr>
                <w:rFonts w:ascii="Calibri" w:cs="Calibri" w:eastAsia="Calibri" w:hAnsi="Calibri"/>
                <w:b/>
                <w:bCs/>
                <w:i w:val="false"/>
                <w:iCs w:val="false"/>
                <w:color w:val="FFFFFF"/>
                <w:sz w:val="19"/>
                <w:szCs w:val="19"/>
              </w:rPr>
              <w:t xml:space="preserve">Fee (AUD)</w:t>
            </w:r>
          </w:p>
        </w:tc>
        <w:tc>
          <w:tcPr>
            <w:tcW w:type="dxa" w:w="1400"/>
            <w:shd w:fill="1F3A52" w:color="auto" w:val="clear"/>
            <w:tcMar>
              <w:top w:type="dxa" w:w="90"/>
              <w:left w:type="dxa" w:w="110"/>
              <w:bottom w:type="dxa" w:w="90"/>
              <w:right w:type="dxa" w:w="110"/>
            </w:tcMar>
            <w:vAlign w:val="center"/>
          </w:tcPr>
          <w:p>
            <w:pPr>
              <w:jc w:val="left"/>
            </w:pPr>
            <w:r>
              <w:rPr>
                <w:rFonts w:ascii="Calibri" w:cs="Calibri" w:eastAsia="Calibri" w:hAnsi="Calibri"/>
                <w:b/>
                <w:bCs/>
                <w:i w:val="false"/>
                <w:iCs w:val="false"/>
                <w:color w:val="FFFFFF"/>
                <w:sz w:val="19"/>
                <w:szCs w:val="19"/>
              </w:rPr>
              <w:t xml:space="preserve">Benefit</w:t>
            </w:r>
          </w:p>
        </w:tc>
      </w:tr>
      <w:tr>
        <w:tc>
          <w:tcPr>
            <w:tcW w:type="dxa" w:w="900"/>
            <w:shd w:fill="EAF1F5" w:color="auto" w:val="clear"/>
            <w:tcMar>
              <w:top w:type="dxa" w:w="90"/>
              <w:left w:type="dxa" w:w="110"/>
              <w:bottom w:type="dxa" w:w="90"/>
              <w:right w:type="dxa" w:w="110"/>
            </w:tcMar>
            <w:vAlign w:val="center"/>
          </w:tcPr>
          <w:p>
            <w:pPr>
              <w:jc w:val="left"/>
            </w:pPr>
            <w:r>
              <w:rPr>
                <w:rFonts w:ascii="Calibri" w:cs="Calibri" w:eastAsia="Calibri" w:hAnsi="Calibri"/>
                <w:b w:val="false"/>
                <w:bCs w:val="false"/>
                <w:i w:val="false"/>
                <w:iCs w:val="false"/>
                <w:color w:val="1A1A1A"/>
                <w:sz w:val="19"/>
                <w:szCs w:val="19"/>
              </w:rPr>
              <w:t xml:space="preserve">82116</w:t>
            </w:r>
          </w:p>
        </w:tc>
        <w:tc>
          <w:tcPr>
            <w:tcW w:type="dxa" w:w="4700"/>
            <w:shd w:fill="EAF1F5" w:color="auto" w:val="clear"/>
            <w:tcMar>
              <w:top w:type="dxa" w:w="90"/>
              <w:left w:type="dxa" w:w="110"/>
              <w:bottom w:type="dxa" w:w="90"/>
              <w:right w:type="dxa" w:w="110"/>
            </w:tcMar>
            <w:vAlign w:val="center"/>
          </w:tcPr>
          <w:p>
            <w:pPr>
              <w:jc w:val="left"/>
            </w:pPr>
            <w:r>
              <w:rPr>
                <w:rFonts w:ascii="Calibri" w:cs="Calibri" w:eastAsia="Calibri" w:hAnsi="Calibri"/>
                <w:b w:val="false"/>
                <w:bCs w:val="false"/>
                <w:i w:val="false"/>
                <w:iCs w:val="false"/>
                <w:color w:val="1A1A1A"/>
                <w:sz w:val="19"/>
                <w:szCs w:val="19"/>
              </w:rPr>
              <w:t xml:space="preserve">Labour management, out-of-hospital, excluding birth. Midwife must have provided, or be from a practice that provided, the patient's antenatal care.</w:t>
            </w:r>
          </w:p>
        </w:tc>
        <w:tc>
          <w:tcPr>
            <w:tcW w:type="dxa" w:w="1100"/>
            <w:shd w:fill="EAF1F5" w:color="auto" w:val="clear"/>
            <w:tcMar>
              <w:top w:type="dxa" w:w="90"/>
              <w:left w:type="dxa" w:w="110"/>
              <w:bottom w:type="dxa" w:w="90"/>
              <w:right w:type="dxa" w:w="110"/>
            </w:tcMar>
            <w:vAlign w:val="center"/>
          </w:tcPr>
          <w:p>
            <w:pPr>
              <w:jc w:val="left"/>
            </w:pPr>
            <w:r>
              <w:rPr>
                <w:rFonts w:ascii="Calibri" w:cs="Calibri" w:eastAsia="Calibri" w:hAnsi="Calibri"/>
                <w:b w:val="false"/>
                <w:bCs w:val="false"/>
                <w:i w:val="false"/>
                <w:iCs w:val="false"/>
                <w:color w:val="1A1A1A"/>
                <w:sz w:val="19"/>
                <w:szCs w:val="19"/>
              </w:rPr>
              <w:t xml:space="preserve">≤6hrs</w:t>
            </w:r>
          </w:p>
        </w:tc>
        <w:tc>
          <w:tcPr>
            <w:tcW w:type="dxa" w:w="1600"/>
            <w:shd w:fill="EAF1F5" w:color="auto" w:val="clear"/>
            <w:tcMar>
              <w:top w:type="dxa" w:w="90"/>
              <w:left w:type="dxa" w:w="110"/>
              <w:bottom w:type="dxa" w:w="90"/>
              <w:right w:type="dxa" w:w="110"/>
            </w:tcMar>
            <w:vAlign w:val="center"/>
          </w:tcPr>
          <w:p>
            <w:pPr>
              <w:jc w:val="left"/>
            </w:pPr>
            <w:r>
              <w:rPr>
                <w:rFonts w:ascii="Calibri" w:cs="Calibri" w:eastAsia="Calibri" w:hAnsi="Calibri"/>
                <w:b w:val="false"/>
                <w:bCs w:val="false"/>
                <w:i w:val="false"/>
                <w:iCs w:val="false"/>
                <w:color w:val="1A1A1A"/>
                <w:sz w:val="19"/>
                <w:szCs w:val="19"/>
              </w:rPr>
              <w:t xml:space="preserve">$901.65</w:t>
            </w:r>
          </w:p>
        </w:tc>
        <w:tc>
          <w:tcPr>
            <w:tcW w:type="dxa" w:w="1400"/>
            <w:shd w:fill="EAF1F5" w:color="auto" w:val="clear"/>
            <w:tcMar>
              <w:top w:type="dxa" w:w="90"/>
              <w:left w:type="dxa" w:w="110"/>
              <w:bottom w:type="dxa" w:w="90"/>
              <w:right w:type="dxa" w:w="110"/>
            </w:tcMar>
            <w:vAlign w:val="center"/>
          </w:tcPr>
          <w:p>
            <w:pPr>
              <w:jc w:val="left"/>
            </w:pPr>
            <w:r>
              <w:rPr>
                <w:rFonts w:ascii="Calibri" w:cs="Calibri" w:eastAsia="Calibri" w:hAnsi="Calibri"/>
                <w:b w:val="false"/>
                <w:bCs w:val="false"/>
                <w:i w:val="false"/>
                <w:iCs w:val="false"/>
                <w:color w:val="1A1A1A"/>
                <w:sz w:val="19"/>
                <w:szCs w:val="19"/>
              </w:rPr>
              <w:t xml:space="preserve">85% = $797.15</w:t>
            </w:r>
          </w:p>
        </w:tc>
      </w:tr>
      <w:tr>
        <w:tc>
          <w:tcPr>
            <w:tcW w:type="dxa" w:w="900"/>
            <w:tcMar>
              <w:top w:type="dxa" w:w="90"/>
              <w:left w:type="dxa" w:w="110"/>
              <w:bottom w:type="dxa" w:w="90"/>
              <w:right w:type="dxa" w:w="110"/>
            </w:tcMar>
            <w:vAlign w:val="center"/>
          </w:tcPr>
          <w:p>
            <w:pPr>
              <w:jc w:val="left"/>
            </w:pPr>
            <w:r>
              <w:rPr>
                <w:rFonts w:ascii="Calibri" w:cs="Calibri" w:eastAsia="Calibri" w:hAnsi="Calibri"/>
                <w:b w:val="false"/>
                <w:bCs w:val="false"/>
                <w:i w:val="false"/>
                <w:iCs w:val="false"/>
                <w:color w:val="1A1A1A"/>
                <w:sz w:val="19"/>
                <w:szCs w:val="19"/>
              </w:rPr>
              <w:t xml:space="preserve">82118</w:t>
            </w:r>
          </w:p>
        </w:tc>
        <w:tc>
          <w:tcPr>
            <w:tcW w:type="dxa" w:w="4700"/>
            <w:tcMar>
              <w:top w:type="dxa" w:w="90"/>
              <w:left w:type="dxa" w:w="110"/>
              <w:bottom w:type="dxa" w:w="90"/>
              <w:right w:type="dxa" w:w="110"/>
            </w:tcMar>
            <w:vAlign w:val="center"/>
          </w:tcPr>
          <w:p>
            <w:pPr>
              <w:jc w:val="left"/>
            </w:pPr>
            <w:r>
              <w:rPr>
                <w:rFonts w:ascii="Calibri" w:cs="Calibri" w:eastAsia="Calibri" w:hAnsi="Calibri"/>
                <w:b w:val="false"/>
                <w:bCs w:val="false"/>
                <w:i w:val="false"/>
                <w:iCs w:val="false"/>
                <w:color w:val="1A1A1A"/>
                <w:sz w:val="19"/>
                <w:szCs w:val="19"/>
              </w:rPr>
              <w:t xml:space="preserve">Labour management, in hospital, 1st midwife, including birth where performed. Same continuity gate. Excludes association with 82120.</w:t>
            </w:r>
          </w:p>
        </w:tc>
        <w:tc>
          <w:tcPr>
            <w:tcW w:type="dxa" w:w="1100"/>
            <w:tcMar>
              <w:top w:type="dxa" w:w="90"/>
              <w:left w:type="dxa" w:w="110"/>
              <w:bottom w:type="dxa" w:w="90"/>
              <w:right w:type="dxa" w:w="110"/>
            </w:tcMar>
            <w:vAlign w:val="center"/>
          </w:tcPr>
          <w:p>
            <w:pPr>
              <w:jc w:val="left"/>
            </w:pPr>
            <w:r>
              <w:rPr>
                <w:rFonts w:ascii="Calibri" w:cs="Calibri" w:eastAsia="Calibri" w:hAnsi="Calibri"/>
                <w:b w:val="false"/>
                <w:bCs w:val="false"/>
                <w:i w:val="false"/>
                <w:iCs w:val="false"/>
                <w:color w:val="1A1A1A"/>
                <w:sz w:val="19"/>
                <w:szCs w:val="19"/>
              </w:rPr>
              <w:t xml:space="preserve">≤6hrs</w:t>
            </w:r>
          </w:p>
        </w:tc>
        <w:tc>
          <w:tcPr>
            <w:tcW w:type="dxa" w:w="1600"/>
            <w:tcMar>
              <w:top w:type="dxa" w:w="90"/>
              <w:left w:type="dxa" w:w="110"/>
              <w:bottom w:type="dxa" w:w="90"/>
              <w:right w:type="dxa" w:w="110"/>
            </w:tcMar>
            <w:vAlign w:val="center"/>
          </w:tcPr>
          <w:p>
            <w:pPr>
              <w:jc w:val="left"/>
            </w:pPr>
            <w:r>
              <w:rPr>
                <w:rFonts w:ascii="Calibri" w:cs="Calibri" w:eastAsia="Calibri" w:hAnsi="Calibri"/>
                <w:b w:val="false"/>
                <w:bCs w:val="false"/>
                <w:i w:val="false"/>
                <w:iCs w:val="false"/>
                <w:color w:val="1A1A1A"/>
                <w:sz w:val="19"/>
                <w:szCs w:val="19"/>
              </w:rPr>
              <w:t xml:space="preserve">$901.65</w:t>
            </w:r>
          </w:p>
        </w:tc>
        <w:tc>
          <w:tcPr>
            <w:tcW w:type="dxa" w:w="1400"/>
            <w:tcMar>
              <w:top w:type="dxa" w:w="90"/>
              <w:left w:type="dxa" w:w="110"/>
              <w:bottom w:type="dxa" w:w="90"/>
              <w:right w:type="dxa" w:w="110"/>
            </w:tcMar>
            <w:vAlign w:val="center"/>
          </w:tcPr>
          <w:p>
            <w:pPr>
              <w:jc w:val="left"/>
            </w:pPr>
            <w:r>
              <w:rPr>
                <w:rFonts w:ascii="Calibri" w:cs="Calibri" w:eastAsia="Calibri" w:hAnsi="Calibri"/>
                <w:b w:val="false"/>
                <w:bCs w:val="false"/>
                <w:i w:val="false"/>
                <w:iCs w:val="false"/>
                <w:color w:val="1A1A1A"/>
                <w:sz w:val="19"/>
                <w:szCs w:val="19"/>
              </w:rPr>
              <w:t xml:space="preserve">75% = $676.25</w:t>
            </w:r>
          </w:p>
        </w:tc>
      </w:tr>
      <w:tr>
        <w:tc>
          <w:tcPr>
            <w:tcW w:type="dxa" w:w="900"/>
            <w:shd w:fill="EAF1F5" w:color="auto" w:val="clear"/>
            <w:tcMar>
              <w:top w:type="dxa" w:w="90"/>
              <w:left w:type="dxa" w:w="110"/>
              <w:bottom w:type="dxa" w:w="90"/>
              <w:right w:type="dxa" w:w="110"/>
            </w:tcMar>
            <w:vAlign w:val="center"/>
          </w:tcPr>
          <w:p>
            <w:pPr>
              <w:jc w:val="left"/>
            </w:pPr>
            <w:r>
              <w:rPr>
                <w:rFonts w:ascii="Calibri" w:cs="Calibri" w:eastAsia="Calibri" w:hAnsi="Calibri"/>
                <w:b w:val="false"/>
                <w:bCs w:val="false"/>
                <w:i w:val="false"/>
                <w:iCs w:val="false"/>
                <w:color w:val="1A1A1A"/>
                <w:sz w:val="19"/>
                <w:szCs w:val="19"/>
              </w:rPr>
              <w:t xml:space="preserve">82120</w:t>
            </w:r>
          </w:p>
        </w:tc>
        <w:tc>
          <w:tcPr>
            <w:tcW w:type="dxa" w:w="4700"/>
            <w:shd w:fill="EAF1F5" w:color="auto" w:val="clear"/>
            <w:tcMar>
              <w:top w:type="dxa" w:w="90"/>
              <w:left w:type="dxa" w:w="110"/>
              <w:bottom w:type="dxa" w:w="90"/>
              <w:right w:type="dxa" w:w="110"/>
            </w:tcMar>
            <w:vAlign w:val="center"/>
          </w:tcPr>
          <w:p>
            <w:pPr>
              <w:jc w:val="left"/>
            </w:pPr>
            <w:r>
              <w:rPr>
                <w:rFonts w:ascii="Calibri" w:cs="Calibri" w:eastAsia="Calibri" w:hAnsi="Calibri"/>
                <w:b w:val="false"/>
                <w:bCs w:val="false"/>
                <w:i w:val="false"/>
                <w:iCs w:val="false"/>
                <w:color w:val="1A1A1A"/>
                <w:sz w:val="19"/>
                <w:szCs w:val="19"/>
              </w:rPr>
              <w:t xml:space="preserve">Labour management, in hospital, 1st midwife, including birth where performed. Excludes association with 82118.</w:t>
            </w:r>
          </w:p>
        </w:tc>
        <w:tc>
          <w:tcPr>
            <w:tcW w:type="dxa" w:w="1100"/>
            <w:shd w:fill="EAF1F5" w:color="auto" w:val="clear"/>
            <w:tcMar>
              <w:top w:type="dxa" w:w="90"/>
              <w:left w:type="dxa" w:w="110"/>
              <w:bottom w:type="dxa" w:w="90"/>
              <w:right w:type="dxa" w:w="110"/>
            </w:tcMar>
            <w:vAlign w:val="center"/>
          </w:tcPr>
          <w:p>
            <w:pPr>
              <w:jc w:val="left"/>
            </w:pPr>
            <w:r>
              <w:rPr>
                <w:rFonts w:ascii="Calibri" w:cs="Calibri" w:eastAsia="Calibri" w:hAnsi="Calibri"/>
                <w:b w:val="false"/>
                <w:bCs w:val="false"/>
                <w:i w:val="false"/>
                <w:iCs w:val="false"/>
                <w:color w:val="1A1A1A"/>
                <w:sz w:val="19"/>
                <w:szCs w:val="19"/>
              </w:rPr>
              <w:t xml:space="preserve">6–12hrs</w:t>
            </w:r>
          </w:p>
        </w:tc>
        <w:tc>
          <w:tcPr>
            <w:tcW w:type="dxa" w:w="1600"/>
            <w:shd w:fill="EAF1F5" w:color="auto" w:val="clear"/>
            <w:tcMar>
              <w:top w:type="dxa" w:w="90"/>
              <w:left w:type="dxa" w:w="110"/>
              <w:bottom w:type="dxa" w:w="90"/>
              <w:right w:type="dxa" w:w="110"/>
            </w:tcMar>
            <w:vAlign w:val="center"/>
          </w:tcPr>
          <w:p>
            <w:pPr>
              <w:jc w:val="left"/>
            </w:pPr>
            <w:r>
              <w:rPr>
                <w:rFonts w:ascii="Calibri" w:cs="Calibri" w:eastAsia="Calibri" w:hAnsi="Calibri"/>
                <w:b w:val="false"/>
                <w:bCs w:val="false"/>
                <w:i w:val="false"/>
                <w:iCs w:val="false"/>
                <w:color w:val="1A1A1A"/>
                <w:sz w:val="19"/>
                <w:szCs w:val="19"/>
              </w:rPr>
              <w:t xml:space="preserve">$1,803.35</w:t>
            </w:r>
          </w:p>
        </w:tc>
        <w:tc>
          <w:tcPr>
            <w:tcW w:type="dxa" w:w="1400"/>
            <w:shd w:fill="EAF1F5" w:color="auto" w:val="clear"/>
            <w:tcMar>
              <w:top w:type="dxa" w:w="90"/>
              <w:left w:type="dxa" w:w="110"/>
              <w:bottom w:type="dxa" w:w="90"/>
              <w:right w:type="dxa" w:w="110"/>
            </w:tcMar>
            <w:vAlign w:val="center"/>
          </w:tcPr>
          <w:p>
            <w:pPr>
              <w:jc w:val="left"/>
            </w:pPr>
            <w:r>
              <w:rPr>
                <w:rFonts w:ascii="Calibri" w:cs="Calibri" w:eastAsia="Calibri" w:hAnsi="Calibri"/>
                <w:b w:val="false"/>
                <w:bCs w:val="false"/>
                <w:i w:val="false"/>
                <w:iCs w:val="false"/>
                <w:color w:val="1A1A1A"/>
                <w:sz w:val="19"/>
                <w:szCs w:val="19"/>
              </w:rPr>
              <w:t xml:space="preserve">75% = $1,352.55</w:t>
            </w:r>
          </w:p>
        </w:tc>
      </w:tr>
      <w:tr>
        <w:tc>
          <w:tcPr>
            <w:tcW w:type="dxa" w:w="900"/>
            <w:tcMar>
              <w:top w:type="dxa" w:w="90"/>
              <w:left w:type="dxa" w:w="110"/>
              <w:bottom w:type="dxa" w:w="90"/>
              <w:right w:type="dxa" w:w="110"/>
            </w:tcMar>
            <w:vAlign w:val="center"/>
          </w:tcPr>
          <w:p>
            <w:pPr>
              <w:jc w:val="left"/>
            </w:pPr>
            <w:r>
              <w:rPr>
                <w:rFonts w:ascii="Calibri" w:cs="Calibri" w:eastAsia="Calibri" w:hAnsi="Calibri"/>
                <w:b w:val="false"/>
                <w:bCs w:val="false"/>
                <w:i w:val="false"/>
                <w:iCs w:val="false"/>
                <w:color w:val="1A1A1A"/>
                <w:sz w:val="19"/>
                <w:szCs w:val="19"/>
              </w:rPr>
              <w:t xml:space="preserve">82123</w:t>
            </w:r>
          </w:p>
        </w:tc>
        <w:tc>
          <w:tcPr>
            <w:tcW w:type="dxa" w:w="4700"/>
            <w:tcMar>
              <w:top w:type="dxa" w:w="90"/>
              <w:left w:type="dxa" w:w="110"/>
              <w:bottom w:type="dxa" w:w="90"/>
              <w:right w:type="dxa" w:w="110"/>
            </w:tcMar>
            <w:vAlign w:val="center"/>
          </w:tcPr>
          <w:p>
            <w:pPr>
              <w:jc w:val="left"/>
            </w:pPr>
            <w:r>
              <w:rPr>
                <w:rFonts w:ascii="Calibri" w:cs="Calibri" w:eastAsia="Calibri" w:hAnsi="Calibri"/>
                <w:b w:val="false"/>
                <w:bCs w:val="false"/>
                <w:i w:val="false"/>
                <w:iCs w:val="false"/>
                <w:color w:val="1A1A1A"/>
                <w:sz w:val="19"/>
                <w:szCs w:val="19"/>
              </w:rPr>
              <w:t xml:space="preserve">Labour management, in hospital, 2nd midwife, including birth where performed. Excludes association with 82125.</w:t>
            </w:r>
          </w:p>
        </w:tc>
        <w:tc>
          <w:tcPr>
            <w:tcW w:type="dxa" w:w="1100"/>
            <w:tcMar>
              <w:top w:type="dxa" w:w="90"/>
              <w:left w:type="dxa" w:w="110"/>
              <w:bottom w:type="dxa" w:w="90"/>
              <w:right w:type="dxa" w:w="110"/>
            </w:tcMar>
            <w:vAlign w:val="center"/>
          </w:tcPr>
          <w:p>
            <w:pPr>
              <w:jc w:val="left"/>
            </w:pPr>
            <w:r>
              <w:rPr>
                <w:rFonts w:ascii="Calibri" w:cs="Calibri" w:eastAsia="Calibri" w:hAnsi="Calibri"/>
                <w:b w:val="false"/>
                <w:bCs w:val="false"/>
                <w:i w:val="false"/>
                <w:iCs w:val="false"/>
                <w:color w:val="1A1A1A"/>
                <w:sz w:val="19"/>
                <w:szCs w:val="19"/>
              </w:rPr>
              <w:t xml:space="preserve">≤6hrs</w:t>
            </w:r>
          </w:p>
        </w:tc>
        <w:tc>
          <w:tcPr>
            <w:tcW w:type="dxa" w:w="1600"/>
            <w:tcMar>
              <w:top w:type="dxa" w:w="90"/>
              <w:left w:type="dxa" w:w="110"/>
              <w:bottom w:type="dxa" w:w="90"/>
              <w:right w:type="dxa" w:w="110"/>
            </w:tcMar>
            <w:vAlign w:val="center"/>
          </w:tcPr>
          <w:p>
            <w:pPr>
              <w:jc w:val="left"/>
            </w:pPr>
            <w:r>
              <w:rPr>
                <w:rFonts w:ascii="Calibri" w:cs="Calibri" w:eastAsia="Calibri" w:hAnsi="Calibri"/>
                <w:b w:val="false"/>
                <w:bCs w:val="false"/>
                <w:i w:val="false"/>
                <w:iCs w:val="false"/>
                <w:color w:val="1A1A1A"/>
                <w:sz w:val="19"/>
                <w:szCs w:val="19"/>
              </w:rPr>
              <w:t xml:space="preserve">$901.65</w:t>
            </w:r>
          </w:p>
        </w:tc>
        <w:tc>
          <w:tcPr>
            <w:tcW w:type="dxa" w:w="1400"/>
            <w:tcMar>
              <w:top w:type="dxa" w:w="90"/>
              <w:left w:type="dxa" w:w="110"/>
              <w:bottom w:type="dxa" w:w="90"/>
              <w:right w:type="dxa" w:w="110"/>
            </w:tcMar>
            <w:vAlign w:val="center"/>
          </w:tcPr>
          <w:p>
            <w:pPr>
              <w:jc w:val="left"/>
            </w:pPr>
            <w:r>
              <w:rPr>
                <w:rFonts w:ascii="Calibri" w:cs="Calibri" w:eastAsia="Calibri" w:hAnsi="Calibri"/>
                <w:b w:val="false"/>
                <w:bCs w:val="false"/>
                <w:i w:val="false"/>
                <w:iCs w:val="false"/>
                <w:color w:val="1A1A1A"/>
                <w:sz w:val="19"/>
                <w:szCs w:val="19"/>
              </w:rPr>
              <w:t xml:space="preserve">75% = $676.25</w:t>
            </w:r>
          </w:p>
        </w:tc>
      </w:tr>
      <w:tr>
        <w:tc>
          <w:tcPr>
            <w:tcW w:type="dxa" w:w="900"/>
            <w:shd w:fill="EAF1F5" w:color="auto" w:val="clear"/>
            <w:tcMar>
              <w:top w:type="dxa" w:w="90"/>
              <w:left w:type="dxa" w:w="110"/>
              <w:bottom w:type="dxa" w:w="90"/>
              <w:right w:type="dxa" w:w="110"/>
            </w:tcMar>
            <w:vAlign w:val="center"/>
          </w:tcPr>
          <w:p>
            <w:pPr>
              <w:jc w:val="left"/>
            </w:pPr>
            <w:r>
              <w:rPr>
                <w:rFonts w:ascii="Calibri" w:cs="Calibri" w:eastAsia="Calibri" w:hAnsi="Calibri"/>
                <w:b w:val="false"/>
                <w:bCs w:val="false"/>
                <w:i w:val="false"/>
                <w:iCs w:val="false"/>
                <w:color w:val="1A1A1A"/>
                <w:sz w:val="19"/>
                <w:szCs w:val="19"/>
              </w:rPr>
              <w:t xml:space="preserve">82125</w:t>
            </w:r>
          </w:p>
        </w:tc>
        <w:tc>
          <w:tcPr>
            <w:tcW w:type="dxa" w:w="4700"/>
            <w:shd w:fill="EAF1F5" w:color="auto" w:val="clear"/>
            <w:tcMar>
              <w:top w:type="dxa" w:w="90"/>
              <w:left w:type="dxa" w:w="110"/>
              <w:bottom w:type="dxa" w:w="90"/>
              <w:right w:type="dxa" w:w="110"/>
            </w:tcMar>
            <w:vAlign w:val="center"/>
          </w:tcPr>
          <w:p>
            <w:pPr>
              <w:jc w:val="left"/>
            </w:pPr>
            <w:r>
              <w:rPr>
                <w:rFonts w:ascii="Calibri" w:cs="Calibri" w:eastAsia="Calibri" w:hAnsi="Calibri"/>
                <w:b w:val="false"/>
                <w:bCs w:val="false"/>
                <w:i w:val="false"/>
                <w:iCs w:val="false"/>
                <w:color w:val="1A1A1A"/>
                <w:sz w:val="19"/>
                <w:szCs w:val="19"/>
              </w:rPr>
              <w:t xml:space="preserve">Labour management, in hospital, 2nd midwife, including birth where performed. Excludes association with 82123 or 82127.</w:t>
            </w:r>
          </w:p>
        </w:tc>
        <w:tc>
          <w:tcPr>
            <w:tcW w:type="dxa" w:w="1100"/>
            <w:shd w:fill="EAF1F5" w:color="auto" w:val="clear"/>
            <w:tcMar>
              <w:top w:type="dxa" w:w="90"/>
              <w:left w:type="dxa" w:w="110"/>
              <w:bottom w:type="dxa" w:w="90"/>
              <w:right w:type="dxa" w:w="110"/>
            </w:tcMar>
            <w:vAlign w:val="center"/>
          </w:tcPr>
          <w:p>
            <w:pPr>
              <w:jc w:val="left"/>
            </w:pPr>
            <w:r>
              <w:rPr>
                <w:rFonts w:ascii="Calibri" w:cs="Calibri" w:eastAsia="Calibri" w:hAnsi="Calibri"/>
                <w:b w:val="false"/>
                <w:bCs w:val="false"/>
                <w:i w:val="false"/>
                <w:iCs w:val="false"/>
                <w:color w:val="1A1A1A"/>
                <w:sz w:val="19"/>
                <w:szCs w:val="19"/>
              </w:rPr>
              <w:t xml:space="preserve">6–12hrs</w:t>
            </w:r>
          </w:p>
        </w:tc>
        <w:tc>
          <w:tcPr>
            <w:tcW w:type="dxa" w:w="1600"/>
            <w:shd w:fill="EAF1F5" w:color="auto" w:val="clear"/>
            <w:tcMar>
              <w:top w:type="dxa" w:w="90"/>
              <w:left w:type="dxa" w:w="110"/>
              <w:bottom w:type="dxa" w:w="90"/>
              <w:right w:type="dxa" w:w="110"/>
            </w:tcMar>
            <w:vAlign w:val="center"/>
          </w:tcPr>
          <w:p>
            <w:pPr>
              <w:jc w:val="left"/>
            </w:pPr>
            <w:r>
              <w:rPr>
                <w:rFonts w:ascii="Calibri" w:cs="Calibri" w:eastAsia="Calibri" w:hAnsi="Calibri"/>
                <w:b w:val="false"/>
                <w:bCs w:val="false"/>
                <w:i w:val="false"/>
                <w:iCs w:val="false"/>
                <w:color w:val="1A1A1A"/>
                <w:sz w:val="19"/>
                <w:szCs w:val="19"/>
              </w:rPr>
              <w:t xml:space="preserve">$1,803.35</w:t>
            </w:r>
          </w:p>
        </w:tc>
        <w:tc>
          <w:tcPr>
            <w:tcW w:type="dxa" w:w="1400"/>
            <w:shd w:fill="EAF1F5" w:color="auto" w:val="clear"/>
            <w:tcMar>
              <w:top w:type="dxa" w:w="90"/>
              <w:left w:type="dxa" w:w="110"/>
              <w:bottom w:type="dxa" w:w="90"/>
              <w:right w:type="dxa" w:w="110"/>
            </w:tcMar>
            <w:vAlign w:val="center"/>
          </w:tcPr>
          <w:p>
            <w:pPr>
              <w:jc w:val="left"/>
            </w:pPr>
            <w:r>
              <w:rPr>
                <w:rFonts w:ascii="Calibri" w:cs="Calibri" w:eastAsia="Calibri" w:hAnsi="Calibri"/>
                <w:b w:val="false"/>
                <w:bCs w:val="false"/>
                <w:i w:val="false"/>
                <w:iCs w:val="false"/>
                <w:color w:val="1A1A1A"/>
                <w:sz w:val="19"/>
                <w:szCs w:val="19"/>
              </w:rPr>
              <w:t xml:space="preserve">75% = $1,352.55</w:t>
            </w:r>
          </w:p>
        </w:tc>
      </w:tr>
      <w:tr>
        <w:tc>
          <w:tcPr>
            <w:tcW w:type="dxa" w:w="900"/>
            <w:tcMar>
              <w:top w:type="dxa" w:w="90"/>
              <w:left w:type="dxa" w:w="110"/>
              <w:bottom w:type="dxa" w:w="90"/>
              <w:right w:type="dxa" w:w="110"/>
            </w:tcMar>
            <w:vAlign w:val="center"/>
          </w:tcPr>
          <w:p>
            <w:pPr>
              <w:jc w:val="left"/>
            </w:pPr>
            <w:r>
              <w:rPr>
                <w:rFonts w:ascii="Calibri" w:cs="Calibri" w:eastAsia="Calibri" w:hAnsi="Calibri"/>
                <w:b w:val="false"/>
                <w:bCs w:val="false"/>
                <w:i w:val="false"/>
                <w:iCs w:val="false"/>
                <w:color w:val="1A1A1A"/>
                <w:sz w:val="19"/>
                <w:szCs w:val="19"/>
              </w:rPr>
              <w:t xml:space="preserve">82127</w:t>
            </w:r>
          </w:p>
        </w:tc>
        <w:tc>
          <w:tcPr>
            <w:tcW w:type="dxa" w:w="4700"/>
            <w:tcMar>
              <w:top w:type="dxa" w:w="90"/>
              <w:left w:type="dxa" w:w="110"/>
              <w:bottom w:type="dxa" w:w="90"/>
              <w:right w:type="dxa" w:w="110"/>
            </w:tcMar>
            <w:vAlign w:val="center"/>
          </w:tcPr>
          <w:p>
            <w:pPr>
              <w:jc w:val="left"/>
            </w:pPr>
            <w:r>
              <w:rPr>
                <w:rFonts w:ascii="Calibri" w:cs="Calibri" w:eastAsia="Calibri" w:hAnsi="Calibri"/>
                <w:b w:val="false"/>
                <w:bCs w:val="false"/>
                <w:i w:val="false"/>
                <w:iCs w:val="false"/>
                <w:color w:val="1A1A1A"/>
                <w:sz w:val="19"/>
                <w:szCs w:val="19"/>
              </w:rPr>
              <w:t xml:space="preserve">Labour management, in hospital, 3rd midwife, including birth where performed. Requires a practice-linked 2nd midwife to have already billed 82123. Excludes association with 82125.</w:t>
            </w:r>
          </w:p>
        </w:tc>
        <w:tc>
          <w:tcPr>
            <w:tcW w:type="dxa" w:w="1100"/>
            <w:tcMar>
              <w:top w:type="dxa" w:w="90"/>
              <w:left w:type="dxa" w:w="110"/>
              <w:bottom w:type="dxa" w:w="90"/>
              <w:right w:type="dxa" w:w="110"/>
            </w:tcMar>
            <w:vAlign w:val="center"/>
          </w:tcPr>
          <w:p>
            <w:pPr>
              <w:jc w:val="left"/>
            </w:pPr>
            <w:r>
              <w:rPr>
                <w:rFonts w:ascii="Calibri" w:cs="Calibri" w:eastAsia="Calibri" w:hAnsi="Calibri"/>
                <w:b w:val="false"/>
                <w:bCs w:val="false"/>
                <w:i w:val="false"/>
                <w:iCs w:val="false"/>
                <w:color w:val="1A1A1A"/>
                <w:sz w:val="19"/>
                <w:szCs w:val="19"/>
              </w:rPr>
              <w:t xml:space="preserve">≤6hrs</w:t>
            </w:r>
          </w:p>
        </w:tc>
        <w:tc>
          <w:tcPr>
            <w:tcW w:type="dxa" w:w="1600"/>
            <w:tcMar>
              <w:top w:type="dxa" w:w="90"/>
              <w:left w:type="dxa" w:w="110"/>
              <w:bottom w:type="dxa" w:w="90"/>
              <w:right w:type="dxa" w:w="110"/>
            </w:tcMar>
            <w:vAlign w:val="center"/>
          </w:tcPr>
          <w:p>
            <w:pPr>
              <w:jc w:val="left"/>
            </w:pPr>
            <w:r>
              <w:rPr>
                <w:rFonts w:ascii="Calibri" w:cs="Calibri" w:eastAsia="Calibri" w:hAnsi="Calibri"/>
                <w:b w:val="false"/>
                <w:bCs w:val="false"/>
                <w:i w:val="false"/>
                <w:iCs w:val="false"/>
                <w:color w:val="1A1A1A"/>
                <w:sz w:val="19"/>
                <w:szCs w:val="19"/>
              </w:rPr>
              <w:t xml:space="preserve">$901.65</w:t>
            </w:r>
          </w:p>
        </w:tc>
        <w:tc>
          <w:tcPr>
            <w:tcW w:type="dxa" w:w="1400"/>
            <w:tcMar>
              <w:top w:type="dxa" w:w="90"/>
              <w:left w:type="dxa" w:w="110"/>
              <w:bottom w:type="dxa" w:w="90"/>
              <w:right w:type="dxa" w:w="110"/>
            </w:tcMar>
            <w:vAlign w:val="center"/>
          </w:tcPr>
          <w:p>
            <w:pPr>
              <w:jc w:val="left"/>
            </w:pPr>
            <w:r>
              <w:rPr>
                <w:rFonts w:ascii="Calibri" w:cs="Calibri" w:eastAsia="Calibri" w:hAnsi="Calibri"/>
                <w:b w:val="false"/>
                <w:bCs w:val="false"/>
                <w:i w:val="false"/>
                <w:iCs w:val="false"/>
                <w:color w:val="1A1A1A"/>
                <w:sz w:val="19"/>
                <w:szCs w:val="19"/>
              </w:rPr>
              <w:t xml:space="preserve">75% = $676.25</w:t>
            </w:r>
          </w:p>
        </w:tc>
      </w:tr>
    </w:tbl>
    <w:p>
      <w:pPr>
        <w:spacing w:after="220"/>
      </w:pPr>
    </w:p>
    <w:p>
      <w:pPr>
        <w:pStyle w:val="Heading2"/>
        <w:spacing w:after="140" w:before="340"/>
      </w:pPr>
      <w:r>
        <w:rPr>
          <w:rFonts w:ascii="Calibri" w:cs="Calibri" w:eastAsia="Calibri" w:hAnsi="Calibri"/>
          <w:b/>
          <w:bCs/>
          <w:color w:val="3F6C8A"/>
          <w:sz w:val="24"/>
          <w:szCs w:val="24"/>
        </w:rPr>
        <w:t xml:space="preserve">3.4 — Postnatal attendances</w:t>
      </w:r>
    </w:p>
    <w:tbl>
      <w:tblPr>
        <w:tblW w:type="dxa" w:w="9700"/>
        <w:tblBorders>
          <w:top w:val="single" w:color="C7D3D9" w:sz="4"/>
          <w:left w:val="single" w:color="C7D3D9" w:sz="4"/>
          <w:bottom w:val="single" w:color="C7D3D9" w:sz="4"/>
          <w:right w:val="single" w:color="C7D3D9" w:sz="4"/>
          <w:insideH w:val="single" w:color="C7D3D9" w:sz="4"/>
          <w:insideV w:val="single" w:color="C7D3D9" w:sz="4"/>
        </w:tblBorders>
      </w:tblPr>
      <w:tblGrid>
        <w:gridCol w:w="900"/>
        <w:gridCol w:w="3900"/>
        <w:gridCol w:w="1700"/>
        <w:gridCol w:w="1900"/>
        <w:gridCol w:w="1300"/>
      </w:tblGrid>
      <w:tr>
        <w:trPr>
          <w:tblHeader/>
        </w:trPr>
        <w:tc>
          <w:tcPr>
            <w:tcW w:type="dxa" w:w="900"/>
            <w:shd w:fill="1F3A52" w:color="auto" w:val="clear"/>
            <w:tcMar>
              <w:top w:type="dxa" w:w="90"/>
              <w:left w:type="dxa" w:w="110"/>
              <w:bottom w:type="dxa" w:w="90"/>
              <w:right w:type="dxa" w:w="110"/>
            </w:tcMar>
            <w:vAlign w:val="center"/>
          </w:tcPr>
          <w:p>
            <w:pPr>
              <w:jc w:val="left"/>
            </w:pPr>
            <w:r>
              <w:rPr>
                <w:rFonts w:ascii="Calibri" w:cs="Calibri" w:eastAsia="Calibri" w:hAnsi="Calibri"/>
                <w:b/>
                <w:bCs/>
                <w:i w:val="false"/>
                <w:iCs w:val="false"/>
                <w:color w:val="FFFFFF"/>
                <w:sz w:val="19"/>
                <w:szCs w:val="19"/>
              </w:rPr>
              <w:t xml:space="preserve">Item</w:t>
            </w:r>
          </w:p>
        </w:tc>
        <w:tc>
          <w:tcPr>
            <w:tcW w:type="dxa" w:w="3900"/>
            <w:shd w:fill="1F3A52" w:color="auto" w:val="clear"/>
            <w:tcMar>
              <w:top w:type="dxa" w:w="90"/>
              <w:left w:type="dxa" w:w="110"/>
              <w:bottom w:type="dxa" w:w="90"/>
              <w:right w:type="dxa" w:w="110"/>
            </w:tcMar>
            <w:vAlign w:val="center"/>
          </w:tcPr>
          <w:p>
            <w:pPr>
              <w:jc w:val="left"/>
            </w:pPr>
            <w:r>
              <w:rPr>
                <w:rFonts w:ascii="Calibri" w:cs="Calibri" w:eastAsia="Calibri" w:hAnsi="Calibri"/>
                <w:b/>
                <w:bCs/>
                <w:i w:val="false"/>
                <w:iCs w:val="false"/>
                <w:color w:val="FFFFFF"/>
                <w:sz w:val="19"/>
                <w:szCs w:val="19"/>
              </w:rPr>
              <w:t xml:space="preserve">Description</w:t>
            </w:r>
          </w:p>
        </w:tc>
        <w:tc>
          <w:tcPr>
            <w:tcW w:type="dxa" w:w="1700"/>
            <w:shd w:fill="1F3A52" w:color="auto" w:val="clear"/>
            <w:tcMar>
              <w:top w:type="dxa" w:w="90"/>
              <w:left w:type="dxa" w:w="110"/>
              <w:bottom w:type="dxa" w:w="90"/>
              <w:right w:type="dxa" w:w="110"/>
            </w:tcMar>
            <w:vAlign w:val="center"/>
          </w:tcPr>
          <w:p>
            <w:pPr>
              <w:jc w:val="left"/>
            </w:pPr>
            <w:r>
              <w:rPr>
                <w:rFonts w:ascii="Calibri" w:cs="Calibri" w:eastAsia="Calibri" w:hAnsi="Calibri"/>
                <w:b/>
                <w:bCs/>
                <w:i w:val="false"/>
                <w:iCs w:val="false"/>
                <w:color w:val="FFFFFF"/>
                <w:sz w:val="19"/>
                <w:szCs w:val="19"/>
              </w:rPr>
              <w:t xml:space="preserve">Fee (AUD)</w:t>
            </w:r>
          </w:p>
        </w:tc>
        <w:tc>
          <w:tcPr>
            <w:tcW w:type="dxa" w:w="1900"/>
            <w:shd w:fill="1F3A52" w:color="auto" w:val="clear"/>
            <w:tcMar>
              <w:top w:type="dxa" w:w="90"/>
              <w:left w:type="dxa" w:w="110"/>
              <w:bottom w:type="dxa" w:w="90"/>
              <w:right w:type="dxa" w:w="110"/>
            </w:tcMar>
            <w:vAlign w:val="center"/>
          </w:tcPr>
          <w:p>
            <w:pPr>
              <w:jc w:val="left"/>
            </w:pPr>
            <w:r>
              <w:rPr>
                <w:rFonts w:ascii="Calibri" w:cs="Calibri" w:eastAsia="Calibri" w:hAnsi="Calibri"/>
                <w:b/>
                <w:bCs/>
                <w:i w:val="false"/>
                <w:iCs w:val="false"/>
                <w:color w:val="FFFFFF"/>
                <w:sz w:val="19"/>
                <w:szCs w:val="19"/>
              </w:rPr>
              <w:t xml:space="preserve">Benefit</w:t>
            </w:r>
          </w:p>
        </w:tc>
        <w:tc>
          <w:tcPr>
            <w:tcW w:type="dxa" w:w="1300"/>
            <w:shd w:fill="1F3A52" w:color="auto" w:val="clear"/>
            <w:tcMar>
              <w:top w:type="dxa" w:w="90"/>
              <w:left w:type="dxa" w:w="110"/>
              <w:bottom w:type="dxa" w:w="90"/>
              <w:right w:type="dxa" w:w="110"/>
            </w:tcMar>
            <w:vAlign w:val="center"/>
          </w:tcPr>
          <w:p>
            <w:pPr>
              <w:jc w:val="left"/>
            </w:pPr>
            <w:r>
              <w:rPr>
                <w:rFonts w:ascii="Calibri" w:cs="Calibri" w:eastAsia="Calibri" w:hAnsi="Calibri"/>
                <w:b/>
                <w:bCs/>
                <w:i w:val="false"/>
                <w:iCs w:val="false"/>
                <w:color w:val="FFFFFF"/>
                <w:sz w:val="19"/>
                <w:szCs w:val="19"/>
              </w:rPr>
              <w:t xml:space="preserve">EMSN cap</w:t>
            </w:r>
          </w:p>
        </w:tc>
      </w:tr>
      <w:tr>
        <w:tc>
          <w:tcPr>
            <w:tcW w:type="dxa" w:w="900"/>
            <w:shd w:fill="EAF1F5" w:color="auto" w:val="clear"/>
            <w:tcMar>
              <w:top w:type="dxa" w:w="90"/>
              <w:left w:type="dxa" w:w="110"/>
              <w:bottom w:type="dxa" w:w="90"/>
              <w:right w:type="dxa" w:w="110"/>
            </w:tcMar>
            <w:vAlign w:val="center"/>
          </w:tcPr>
          <w:p>
            <w:pPr>
              <w:jc w:val="left"/>
            </w:pPr>
            <w:r>
              <w:rPr>
                <w:rFonts w:ascii="Calibri" w:cs="Calibri" w:eastAsia="Calibri" w:hAnsi="Calibri"/>
                <w:b w:val="false"/>
                <w:bCs w:val="false"/>
                <w:i w:val="false"/>
                <w:iCs w:val="false"/>
                <w:color w:val="1A1A1A"/>
                <w:sz w:val="19"/>
                <w:szCs w:val="19"/>
              </w:rPr>
              <w:t xml:space="preserve">82130</w:t>
            </w:r>
          </w:p>
        </w:tc>
        <w:tc>
          <w:tcPr>
            <w:tcW w:type="dxa" w:w="3900"/>
            <w:shd w:fill="EAF1F5" w:color="auto" w:val="clear"/>
            <w:tcMar>
              <w:top w:type="dxa" w:w="90"/>
              <w:left w:type="dxa" w:w="110"/>
              <w:bottom w:type="dxa" w:w="90"/>
              <w:right w:type="dxa" w:w="110"/>
            </w:tcMar>
            <w:vAlign w:val="center"/>
          </w:tcPr>
          <w:p>
            <w:pPr>
              <w:jc w:val="left"/>
            </w:pPr>
            <w:r>
              <w:rPr>
                <w:rFonts w:ascii="Calibri" w:cs="Calibri" w:eastAsia="Calibri" w:hAnsi="Calibri"/>
                <w:b w:val="false"/>
                <w:bCs w:val="false"/>
                <w:i w:val="false"/>
                <w:iCs w:val="false"/>
                <w:color w:val="1A1A1A"/>
                <w:sz w:val="19"/>
                <w:szCs w:val="19"/>
              </w:rPr>
              <w:t xml:space="preserve">Short postnatal attendance — ≥20min, within 6wks of birth.</w:t>
            </w:r>
          </w:p>
        </w:tc>
        <w:tc>
          <w:tcPr>
            <w:tcW w:type="dxa" w:w="1700"/>
            <w:shd w:fill="EAF1F5" w:color="auto" w:val="clear"/>
            <w:tcMar>
              <w:top w:type="dxa" w:w="90"/>
              <w:left w:type="dxa" w:w="110"/>
              <w:bottom w:type="dxa" w:w="90"/>
              <w:right w:type="dxa" w:w="110"/>
            </w:tcMar>
            <w:vAlign w:val="center"/>
          </w:tcPr>
          <w:p>
            <w:pPr>
              <w:jc w:val="left"/>
            </w:pPr>
            <w:r>
              <w:rPr>
                <w:rFonts w:ascii="Calibri" w:cs="Calibri" w:eastAsia="Calibri" w:hAnsi="Calibri"/>
                <w:b w:val="false"/>
                <w:bCs w:val="false"/>
                <w:i w:val="false"/>
                <w:iCs w:val="false"/>
                <w:color w:val="1A1A1A"/>
                <w:sz w:val="19"/>
                <w:szCs w:val="19"/>
              </w:rPr>
              <w:t xml:space="preserve">$63.90</w:t>
            </w:r>
          </w:p>
        </w:tc>
        <w:tc>
          <w:tcPr>
            <w:tcW w:type="dxa" w:w="1900"/>
            <w:shd w:fill="EAF1F5" w:color="auto" w:val="clear"/>
            <w:tcMar>
              <w:top w:type="dxa" w:w="90"/>
              <w:left w:type="dxa" w:w="110"/>
              <w:bottom w:type="dxa" w:w="90"/>
              <w:right w:type="dxa" w:w="110"/>
            </w:tcMar>
            <w:vAlign w:val="center"/>
          </w:tcPr>
          <w:p>
            <w:pPr>
              <w:jc w:val="left"/>
            </w:pPr>
            <w:r>
              <w:rPr>
                <w:rFonts w:ascii="Calibri" w:cs="Calibri" w:eastAsia="Calibri" w:hAnsi="Calibri"/>
                <w:b w:val="false"/>
                <w:bCs w:val="false"/>
                <w:i w:val="false"/>
                <w:iCs w:val="false"/>
                <w:color w:val="1A1A1A"/>
                <w:sz w:val="19"/>
                <w:szCs w:val="19"/>
              </w:rPr>
              <w:t xml:space="preserve">75% = $47.95</w:t>
            </w:r>
            <w:r>
              <w:rPr>
                <w:rFonts w:ascii="Calibri" w:cs="Calibri" w:eastAsia="Calibri" w:hAnsi="Calibri"/>
                <w:sz w:val="19"/>
                <w:szCs w:val="19"/>
              </w:rPr>
              <w:br/>
              <w:t xml:space="preserve"/>
            </w:r>
            <w:r>
              <w:rPr>
                <w:rFonts w:ascii="Calibri" w:cs="Calibri" w:eastAsia="Calibri" w:hAnsi="Calibri"/>
                <w:b w:val="false"/>
                <w:bCs w:val="false"/>
                <w:i w:val="false"/>
                <w:iCs w:val="false"/>
                <w:color w:val="1A1A1A"/>
                <w:sz w:val="19"/>
                <w:szCs w:val="19"/>
              </w:rPr>
              <w:t xml:space="preserve">85% = $54.35</w:t>
            </w:r>
          </w:p>
        </w:tc>
        <w:tc>
          <w:tcPr>
            <w:tcW w:type="dxa" w:w="1300"/>
            <w:shd w:fill="EAF1F5" w:color="auto" w:val="clear"/>
            <w:tcMar>
              <w:top w:type="dxa" w:w="90"/>
              <w:left w:type="dxa" w:w="110"/>
              <w:bottom w:type="dxa" w:w="90"/>
              <w:right w:type="dxa" w:w="110"/>
            </w:tcMar>
            <w:vAlign w:val="center"/>
          </w:tcPr>
          <w:p>
            <w:pPr>
              <w:jc w:val="left"/>
            </w:pPr>
            <w:r>
              <w:rPr>
                <w:rFonts w:ascii="Calibri" w:cs="Calibri" w:eastAsia="Calibri" w:hAnsi="Calibri"/>
                <w:b w:val="false"/>
                <w:bCs w:val="false"/>
                <w:i w:val="false"/>
                <w:iCs w:val="false"/>
                <w:color w:val="1A1A1A"/>
                <w:sz w:val="19"/>
                <w:szCs w:val="19"/>
              </w:rPr>
              <w:t xml:space="preserve">$20.40</w:t>
            </w:r>
          </w:p>
        </w:tc>
      </w:tr>
      <w:tr>
        <w:tc>
          <w:tcPr>
            <w:tcW w:type="dxa" w:w="900"/>
            <w:tcMar>
              <w:top w:type="dxa" w:w="90"/>
              <w:left w:type="dxa" w:w="110"/>
              <w:bottom w:type="dxa" w:w="90"/>
              <w:right w:type="dxa" w:w="110"/>
            </w:tcMar>
            <w:vAlign w:val="center"/>
          </w:tcPr>
          <w:p>
            <w:pPr>
              <w:jc w:val="left"/>
            </w:pPr>
            <w:r>
              <w:rPr>
                <w:rFonts w:ascii="Calibri" w:cs="Calibri" w:eastAsia="Calibri" w:hAnsi="Calibri"/>
                <w:b w:val="false"/>
                <w:bCs w:val="false"/>
                <w:i w:val="false"/>
                <w:iCs w:val="false"/>
                <w:color w:val="1A1A1A"/>
                <w:sz w:val="19"/>
                <w:szCs w:val="19"/>
              </w:rPr>
              <w:t xml:space="preserve">82135</w:t>
            </w:r>
          </w:p>
        </w:tc>
        <w:tc>
          <w:tcPr>
            <w:tcW w:type="dxa" w:w="3900"/>
            <w:tcMar>
              <w:top w:type="dxa" w:w="90"/>
              <w:left w:type="dxa" w:w="110"/>
              <w:bottom w:type="dxa" w:w="90"/>
              <w:right w:type="dxa" w:w="110"/>
            </w:tcMar>
            <w:vAlign w:val="center"/>
          </w:tcPr>
          <w:p>
            <w:pPr>
              <w:jc w:val="left"/>
            </w:pPr>
            <w:r>
              <w:rPr>
                <w:rFonts w:ascii="Calibri" w:cs="Calibri" w:eastAsia="Calibri" w:hAnsi="Calibri"/>
                <w:b w:val="false"/>
                <w:bCs w:val="false"/>
                <w:i w:val="false"/>
                <w:iCs w:val="false"/>
                <w:color w:val="1A1A1A"/>
                <w:sz w:val="19"/>
                <w:szCs w:val="19"/>
              </w:rPr>
              <w:t xml:space="preserve">Routine postnatal attendance — ≥40min, within 6wks of birth.</w:t>
            </w:r>
          </w:p>
        </w:tc>
        <w:tc>
          <w:tcPr>
            <w:tcW w:type="dxa" w:w="1700"/>
            <w:tcMar>
              <w:top w:type="dxa" w:w="90"/>
              <w:left w:type="dxa" w:w="110"/>
              <w:bottom w:type="dxa" w:w="90"/>
              <w:right w:type="dxa" w:w="110"/>
            </w:tcMar>
            <w:vAlign w:val="center"/>
          </w:tcPr>
          <w:p>
            <w:pPr>
              <w:jc w:val="left"/>
            </w:pPr>
            <w:r>
              <w:rPr>
                <w:rFonts w:ascii="Calibri" w:cs="Calibri" w:eastAsia="Calibri" w:hAnsi="Calibri"/>
                <w:b w:val="false"/>
                <w:bCs w:val="false"/>
                <w:i w:val="false"/>
                <w:iCs w:val="false"/>
                <w:color w:val="1A1A1A"/>
                <w:sz w:val="19"/>
                <w:szCs w:val="19"/>
              </w:rPr>
              <w:t xml:space="preserve">$130.80</w:t>
            </w:r>
          </w:p>
        </w:tc>
        <w:tc>
          <w:tcPr>
            <w:tcW w:type="dxa" w:w="1900"/>
            <w:tcMar>
              <w:top w:type="dxa" w:w="90"/>
              <w:left w:type="dxa" w:w="110"/>
              <w:bottom w:type="dxa" w:w="90"/>
              <w:right w:type="dxa" w:w="110"/>
            </w:tcMar>
            <w:vAlign w:val="center"/>
          </w:tcPr>
          <w:p>
            <w:pPr>
              <w:jc w:val="left"/>
            </w:pPr>
            <w:r>
              <w:rPr>
                <w:rFonts w:ascii="Calibri" w:cs="Calibri" w:eastAsia="Calibri" w:hAnsi="Calibri"/>
                <w:b w:val="false"/>
                <w:bCs w:val="false"/>
                <w:i w:val="false"/>
                <w:iCs w:val="false"/>
                <w:color w:val="1A1A1A"/>
                <w:sz w:val="19"/>
                <w:szCs w:val="19"/>
              </w:rPr>
              <w:t xml:space="preserve">75% = $98.10</w:t>
            </w:r>
            <w:r>
              <w:rPr>
                <w:rFonts w:ascii="Calibri" w:cs="Calibri" w:eastAsia="Calibri" w:hAnsi="Calibri"/>
                <w:sz w:val="19"/>
                <w:szCs w:val="19"/>
              </w:rPr>
              <w:br/>
              <w:t xml:space="preserve"/>
            </w:r>
            <w:r>
              <w:rPr>
                <w:rFonts w:ascii="Calibri" w:cs="Calibri" w:eastAsia="Calibri" w:hAnsi="Calibri"/>
                <w:b w:val="false"/>
                <w:bCs w:val="false"/>
                <w:i w:val="false"/>
                <w:iCs w:val="false"/>
                <w:color w:val="1A1A1A"/>
                <w:sz w:val="19"/>
                <w:szCs w:val="19"/>
              </w:rPr>
              <w:t xml:space="preserve">85% = $111.20</w:t>
            </w:r>
          </w:p>
        </w:tc>
        <w:tc>
          <w:tcPr>
            <w:tcW w:type="dxa" w:w="1300"/>
            <w:tcMar>
              <w:top w:type="dxa" w:w="90"/>
              <w:left w:type="dxa" w:w="110"/>
              <w:bottom w:type="dxa" w:w="90"/>
              <w:right w:type="dxa" w:w="110"/>
            </w:tcMar>
            <w:vAlign w:val="center"/>
          </w:tcPr>
          <w:p>
            <w:pPr>
              <w:jc w:val="left"/>
            </w:pPr>
            <w:r>
              <w:rPr>
                <w:rFonts w:ascii="Calibri" w:cs="Calibri" w:eastAsia="Calibri" w:hAnsi="Calibri"/>
                <w:b w:val="false"/>
                <w:bCs w:val="false"/>
                <w:i w:val="false"/>
                <w:iCs w:val="false"/>
                <w:color w:val="1A1A1A"/>
                <w:sz w:val="19"/>
                <w:szCs w:val="19"/>
              </w:rPr>
              <w:t xml:space="preserve">$27.30</w:t>
            </w:r>
          </w:p>
        </w:tc>
      </w:tr>
      <w:tr>
        <w:tc>
          <w:tcPr>
            <w:tcW w:type="dxa" w:w="900"/>
            <w:shd w:fill="EAF1F5" w:color="auto" w:val="clear"/>
            <w:tcMar>
              <w:top w:type="dxa" w:w="90"/>
              <w:left w:type="dxa" w:w="110"/>
              <w:bottom w:type="dxa" w:w="90"/>
              <w:right w:type="dxa" w:w="110"/>
            </w:tcMar>
            <w:vAlign w:val="center"/>
          </w:tcPr>
          <w:p>
            <w:pPr>
              <w:jc w:val="left"/>
            </w:pPr>
            <w:r>
              <w:rPr>
                <w:rFonts w:ascii="Calibri" w:cs="Calibri" w:eastAsia="Calibri" w:hAnsi="Calibri"/>
                <w:b w:val="false"/>
                <w:bCs w:val="false"/>
                <w:i w:val="false"/>
                <w:iCs w:val="false"/>
                <w:color w:val="1A1A1A"/>
                <w:sz w:val="19"/>
                <w:szCs w:val="19"/>
              </w:rPr>
              <w:t xml:space="preserve">82104</w:t>
            </w:r>
          </w:p>
        </w:tc>
        <w:tc>
          <w:tcPr>
            <w:tcW w:type="dxa" w:w="3900"/>
            <w:shd w:fill="EAF1F5" w:color="auto" w:val="clear"/>
            <w:tcMar>
              <w:top w:type="dxa" w:w="90"/>
              <w:left w:type="dxa" w:w="110"/>
              <w:bottom w:type="dxa" w:w="90"/>
              <w:right w:type="dxa" w:w="110"/>
            </w:tcMar>
            <w:vAlign w:val="center"/>
          </w:tcPr>
          <w:p>
            <w:pPr>
              <w:jc w:val="left"/>
            </w:pPr>
            <w:r>
              <w:rPr>
                <w:rFonts w:ascii="Calibri" w:cs="Calibri" w:eastAsia="Calibri" w:hAnsi="Calibri"/>
                <w:b w:val="false"/>
                <w:bCs w:val="false"/>
                <w:i w:val="false"/>
                <w:iCs w:val="false"/>
                <w:color w:val="1A1A1A"/>
                <w:sz w:val="19"/>
                <w:szCs w:val="19"/>
              </w:rPr>
              <w:t xml:space="preserve">Long postnatal attendance — ≥90min, within 6wks of birth.</w:t>
            </w:r>
          </w:p>
        </w:tc>
        <w:tc>
          <w:tcPr>
            <w:tcW w:type="dxa" w:w="1700"/>
            <w:shd w:fill="EAF1F5" w:color="auto" w:val="clear"/>
            <w:tcMar>
              <w:top w:type="dxa" w:w="90"/>
              <w:left w:type="dxa" w:w="110"/>
              <w:bottom w:type="dxa" w:w="90"/>
              <w:right w:type="dxa" w:w="110"/>
            </w:tcMar>
            <w:vAlign w:val="center"/>
          </w:tcPr>
          <w:p>
            <w:pPr>
              <w:jc w:val="left"/>
            </w:pPr>
            <w:r>
              <w:rPr>
                <w:rFonts w:ascii="Calibri" w:cs="Calibri" w:eastAsia="Calibri" w:hAnsi="Calibri"/>
                <w:b w:val="false"/>
                <w:bCs w:val="false"/>
                <w:i w:val="false"/>
                <w:iCs w:val="false"/>
                <w:color w:val="1A1A1A"/>
                <w:sz w:val="19"/>
                <w:szCs w:val="19"/>
              </w:rPr>
              <w:t xml:space="preserve">$196.20</w:t>
            </w:r>
          </w:p>
        </w:tc>
        <w:tc>
          <w:tcPr>
            <w:tcW w:type="dxa" w:w="1900"/>
            <w:shd w:fill="EAF1F5" w:color="auto" w:val="clear"/>
            <w:tcMar>
              <w:top w:type="dxa" w:w="90"/>
              <w:left w:type="dxa" w:w="110"/>
              <w:bottom w:type="dxa" w:w="90"/>
              <w:right w:type="dxa" w:w="110"/>
            </w:tcMar>
            <w:vAlign w:val="center"/>
          </w:tcPr>
          <w:p>
            <w:pPr>
              <w:jc w:val="left"/>
            </w:pPr>
            <w:r>
              <w:rPr>
                <w:rFonts w:ascii="Calibri" w:cs="Calibri" w:eastAsia="Calibri" w:hAnsi="Calibri"/>
                <w:b w:val="false"/>
                <w:bCs w:val="false"/>
                <w:i w:val="false"/>
                <w:iCs w:val="false"/>
                <w:color w:val="1A1A1A"/>
                <w:sz w:val="19"/>
                <w:szCs w:val="19"/>
              </w:rPr>
              <w:t xml:space="preserve">75% = $147.15</w:t>
            </w:r>
            <w:r>
              <w:rPr>
                <w:rFonts w:ascii="Calibri" w:cs="Calibri" w:eastAsia="Calibri" w:hAnsi="Calibri"/>
                <w:sz w:val="19"/>
                <w:szCs w:val="19"/>
              </w:rPr>
              <w:br/>
              <w:t xml:space="preserve"/>
            </w:r>
            <w:r>
              <w:rPr>
                <w:rFonts w:ascii="Calibri" w:cs="Calibri" w:eastAsia="Calibri" w:hAnsi="Calibri"/>
                <w:b w:val="false"/>
                <w:bCs w:val="false"/>
                <w:i w:val="false"/>
                <w:iCs w:val="false"/>
                <w:color w:val="1A1A1A"/>
                <w:sz w:val="19"/>
                <w:szCs w:val="19"/>
              </w:rPr>
              <w:t xml:space="preserve">85% = $166.80</w:t>
            </w:r>
          </w:p>
        </w:tc>
        <w:tc>
          <w:tcPr>
            <w:tcW w:type="dxa" w:w="1300"/>
            <w:shd w:fill="EAF1F5" w:color="auto" w:val="clear"/>
            <w:tcMar>
              <w:top w:type="dxa" w:w="90"/>
              <w:left w:type="dxa" w:w="110"/>
              <w:bottom w:type="dxa" w:w="90"/>
              <w:right w:type="dxa" w:w="110"/>
            </w:tcMar>
            <w:vAlign w:val="center"/>
          </w:tcPr>
          <w:p>
            <w:pPr>
              <w:jc w:val="left"/>
            </w:pPr>
            <w:r>
              <w:rPr>
                <w:rFonts w:ascii="Calibri" w:cs="Calibri" w:eastAsia="Calibri" w:hAnsi="Calibri"/>
                <w:b w:val="false"/>
                <w:bCs w:val="false"/>
                <w:i w:val="false"/>
                <w:iCs w:val="false"/>
                <w:color w:val="1A1A1A"/>
                <w:sz w:val="19"/>
                <w:szCs w:val="19"/>
              </w:rPr>
              <w:t xml:space="preserve">—</w:t>
            </w:r>
          </w:p>
        </w:tc>
      </w:tr>
      <w:tr>
        <w:tc>
          <w:tcPr>
            <w:tcW w:type="dxa" w:w="900"/>
            <w:tcMar>
              <w:top w:type="dxa" w:w="90"/>
              <w:left w:type="dxa" w:w="110"/>
              <w:bottom w:type="dxa" w:w="90"/>
              <w:right w:type="dxa" w:w="110"/>
            </w:tcMar>
            <w:vAlign w:val="center"/>
          </w:tcPr>
          <w:p>
            <w:pPr>
              <w:jc w:val="left"/>
            </w:pPr>
            <w:r>
              <w:rPr>
                <w:rFonts w:ascii="Calibri" w:cs="Calibri" w:eastAsia="Calibri" w:hAnsi="Calibri"/>
                <w:b w:val="false"/>
                <w:bCs w:val="false"/>
                <w:i w:val="false"/>
                <w:iCs w:val="false"/>
                <w:color w:val="1A1A1A"/>
                <w:sz w:val="19"/>
                <w:szCs w:val="19"/>
              </w:rPr>
              <w:t xml:space="preserve">82140</w:t>
            </w:r>
          </w:p>
        </w:tc>
        <w:tc>
          <w:tcPr>
            <w:tcW w:type="dxa" w:w="3900"/>
            <w:tcMar>
              <w:top w:type="dxa" w:w="90"/>
              <w:left w:type="dxa" w:w="110"/>
              <w:bottom w:type="dxa" w:w="90"/>
              <w:right w:type="dxa" w:w="110"/>
            </w:tcMar>
            <w:vAlign w:val="center"/>
          </w:tcPr>
          <w:p>
            <w:pPr>
              <w:jc w:val="left"/>
            </w:pPr>
            <w:r>
              <w:rPr>
                <w:rFonts w:ascii="Calibri" w:cs="Calibri" w:eastAsia="Calibri" w:hAnsi="Calibri"/>
                <w:b w:val="false"/>
                <w:bCs w:val="false"/>
                <w:i w:val="false"/>
                <w:iCs w:val="false"/>
                <w:color w:val="1A1A1A"/>
                <w:sz w:val="19"/>
                <w:szCs w:val="19"/>
              </w:rPr>
              <w:t xml:space="preserve">Comprehensive postnatal check — ≥60min, 4–8wks post-birth. Full exam of patient and baby, labour/birth debrief, mental health assessment (or documented decline), referral to a primary carer (or documented decline). Once per pregnancy.</w:t>
            </w:r>
          </w:p>
        </w:tc>
        <w:tc>
          <w:tcPr>
            <w:tcW w:type="dxa" w:w="1700"/>
            <w:tcMar>
              <w:top w:type="dxa" w:w="90"/>
              <w:left w:type="dxa" w:w="110"/>
              <w:bottom w:type="dxa" w:w="90"/>
              <w:right w:type="dxa" w:w="110"/>
            </w:tcMar>
            <w:vAlign w:val="center"/>
          </w:tcPr>
          <w:p>
            <w:pPr>
              <w:jc w:val="left"/>
            </w:pPr>
            <w:r>
              <w:rPr>
                <w:rFonts w:ascii="Calibri" w:cs="Calibri" w:eastAsia="Calibri" w:hAnsi="Calibri"/>
                <w:b w:val="false"/>
                <w:bCs w:val="false"/>
                <w:i w:val="false"/>
                <w:iCs w:val="false"/>
                <w:color w:val="1A1A1A"/>
                <w:sz w:val="19"/>
                <w:szCs w:val="19"/>
              </w:rPr>
              <w:t xml:space="preserve">$63.90</w:t>
            </w:r>
          </w:p>
        </w:tc>
        <w:tc>
          <w:tcPr>
            <w:tcW w:type="dxa" w:w="1900"/>
            <w:tcMar>
              <w:top w:type="dxa" w:w="90"/>
              <w:left w:type="dxa" w:w="110"/>
              <w:bottom w:type="dxa" w:w="90"/>
              <w:right w:type="dxa" w:w="110"/>
            </w:tcMar>
            <w:vAlign w:val="center"/>
          </w:tcPr>
          <w:p>
            <w:pPr>
              <w:jc w:val="left"/>
            </w:pPr>
            <w:r>
              <w:rPr>
                <w:rFonts w:ascii="Calibri" w:cs="Calibri" w:eastAsia="Calibri" w:hAnsi="Calibri"/>
                <w:b w:val="false"/>
                <w:bCs w:val="false"/>
                <w:i w:val="false"/>
                <w:iCs w:val="false"/>
                <w:color w:val="1A1A1A"/>
                <w:sz w:val="19"/>
                <w:szCs w:val="19"/>
              </w:rPr>
              <w:t xml:space="preserve">85% = $54.35</w:t>
            </w:r>
          </w:p>
        </w:tc>
        <w:tc>
          <w:tcPr>
            <w:tcW w:type="dxa" w:w="1300"/>
            <w:tcMar>
              <w:top w:type="dxa" w:w="90"/>
              <w:left w:type="dxa" w:w="110"/>
              <w:bottom w:type="dxa" w:w="90"/>
              <w:right w:type="dxa" w:w="110"/>
            </w:tcMar>
            <w:vAlign w:val="center"/>
          </w:tcPr>
          <w:p>
            <w:pPr>
              <w:jc w:val="left"/>
            </w:pPr>
            <w:r>
              <w:rPr>
                <w:rFonts w:ascii="Calibri" w:cs="Calibri" w:eastAsia="Calibri" w:hAnsi="Calibri"/>
                <w:b w:val="false"/>
                <w:bCs w:val="false"/>
                <w:i w:val="false"/>
                <w:iCs w:val="false"/>
                <w:color w:val="1A1A1A"/>
                <w:sz w:val="19"/>
                <w:szCs w:val="19"/>
              </w:rPr>
              <w:t xml:space="preserve">$20.40</w:t>
            </w:r>
          </w:p>
        </w:tc>
      </w:tr>
    </w:tbl>
    <w:p>
      <w:pPr>
        <w:spacing w:after="220"/>
      </w:pPr>
    </w:p>
    <w:p>
      <w:pPr>
        <w:pStyle w:val="Heading2"/>
        <w:spacing w:after="140" w:before="340"/>
      </w:pPr>
      <w:r>
        <w:rPr>
          <w:rFonts w:ascii="Calibri" w:cs="Calibri" w:eastAsia="Calibri" w:hAnsi="Calibri"/>
          <w:b/>
          <w:bCs/>
          <w:color w:val="3F6C8A"/>
          <w:sz w:val="24"/>
          <w:szCs w:val="24"/>
        </w:rPr>
        <w:t xml:space="preserve">3.5 — Telehealth equivalents (antenatal &amp; postnatal only)</w:t>
      </w:r>
    </w:p>
    <w:p>
      <w:pPr>
        <w:spacing w:after="160" w:line="276"/>
      </w:pPr>
      <w:r>
        <w:rPr>
          <w:rFonts w:ascii="Calibri" w:cs="Calibri" w:eastAsia="Calibri" w:hAnsi="Calibri"/>
          <w:color w:val="1A1A1A"/>
          <w:sz w:val="21"/>
          <w:szCs w:val="21"/>
        </w:rPr>
        <w:t xml:space="preserve">No telehealth equivalents were identified for the long postnatal check (82104) or the comprehensive postnatal check (82140) — both appear structured to require in-person attendance.</w:t>
      </w:r>
    </w:p>
    <w:tbl>
      <w:tblPr>
        <w:tblW w:type="dxa" w:w="9700"/>
        <w:tblBorders>
          <w:top w:val="single" w:color="C7D3D9" w:sz="4"/>
          <w:left w:val="single" w:color="C7D3D9" w:sz="4"/>
          <w:bottom w:val="single" w:color="C7D3D9" w:sz="4"/>
          <w:right w:val="single" w:color="C7D3D9" w:sz="4"/>
          <w:insideH w:val="single" w:color="C7D3D9" w:sz="4"/>
          <w:insideV w:val="single" w:color="C7D3D9" w:sz="4"/>
        </w:tblBorders>
      </w:tblPr>
      <w:tblGrid>
        <w:gridCol w:w="3900"/>
        <w:gridCol w:w="1800"/>
        <w:gridCol w:w="1800"/>
        <w:gridCol w:w="2200"/>
      </w:tblGrid>
      <w:tr>
        <w:trPr>
          <w:tblHeader/>
        </w:trPr>
        <w:tc>
          <w:tcPr>
            <w:tcW w:type="dxa" w:w="3900"/>
            <w:shd w:fill="1F3A52" w:color="auto" w:val="clear"/>
            <w:tcMar>
              <w:top w:type="dxa" w:w="90"/>
              <w:left w:type="dxa" w:w="110"/>
              <w:bottom w:type="dxa" w:w="90"/>
              <w:right w:type="dxa" w:w="110"/>
            </w:tcMar>
            <w:vAlign w:val="center"/>
          </w:tcPr>
          <w:p>
            <w:pPr>
              <w:jc w:val="left"/>
            </w:pPr>
            <w:r>
              <w:rPr>
                <w:rFonts w:ascii="Calibri" w:cs="Calibri" w:eastAsia="Calibri" w:hAnsi="Calibri"/>
                <w:b/>
                <w:bCs/>
                <w:i w:val="false"/>
                <w:iCs w:val="false"/>
                <w:color w:val="FFFFFF"/>
                <w:sz w:val="19"/>
                <w:szCs w:val="19"/>
              </w:rPr>
              <w:t xml:space="preserve">Service</w:t>
            </w:r>
          </w:p>
        </w:tc>
        <w:tc>
          <w:tcPr>
            <w:tcW w:type="dxa" w:w="1800"/>
            <w:shd w:fill="1F3A52" w:color="auto" w:val="clear"/>
            <w:tcMar>
              <w:top w:type="dxa" w:w="90"/>
              <w:left w:type="dxa" w:w="110"/>
              <w:bottom w:type="dxa" w:w="90"/>
              <w:right w:type="dxa" w:w="110"/>
            </w:tcMar>
            <w:vAlign w:val="center"/>
          </w:tcPr>
          <w:p>
            <w:pPr>
              <w:jc w:val="left"/>
            </w:pPr>
            <w:r>
              <w:rPr>
                <w:rFonts w:ascii="Calibri" w:cs="Calibri" w:eastAsia="Calibri" w:hAnsi="Calibri"/>
                <w:b/>
                <w:bCs/>
                <w:i w:val="false"/>
                <w:iCs w:val="false"/>
                <w:color w:val="FFFFFF"/>
                <w:sz w:val="19"/>
                <w:szCs w:val="19"/>
              </w:rPr>
              <w:t xml:space="preserve">Video</w:t>
            </w:r>
          </w:p>
        </w:tc>
        <w:tc>
          <w:tcPr>
            <w:tcW w:type="dxa" w:w="1800"/>
            <w:shd w:fill="1F3A52" w:color="auto" w:val="clear"/>
            <w:tcMar>
              <w:top w:type="dxa" w:w="90"/>
              <w:left w:type="dxa" w:w="110"/>
              <w:bottom w:type="dxa" w:w="90"/>
              <w:right w:type="dxa" w:w="110"/>
            </w:tcMar>
            <w:vAlign w:val="center"/>
          </w:tcPr>
          <w:p>
            <w:pPr>
              <w:jc w:val="left"/>
            </w:pPr>
            <w:r>
              <w:rPr>
                <w:rFonts w:ascii="Calibri" w:cs="Calibri" w:eastAsia="Calibri" w:hAnsi="Calibri"/>
                <w:b/>
                <w:bCs/>
                <w:i w:val="false"/>
                <w:iCs w:val="false"/>
                <w:color w:val="FFFFFF"/>
                <w:sz w:val="19"/>
                <w:szCs w:val="19"/>
              </w:rPr>
              <w:t xml:space="preserve">Phone</w:t>
            </w:r>
          </w:p>
        </w:tc>
        <w:tc>
          <w:tcPr>
            <w:tcW w:type="dxa" w:w="2200"/>
            <w:shd w:fill="1F3A52" w:color="auto" w:val="clear"/>
            <w:tcMar>
              <w:top w:type="dxa" w:w="90"/>
              <w:left w:type="dxa" w:w="110"/>
              <w:bottom w:type="dxa" w:w="90"/>
              <w:right w:type="dxa" w:w="110"/>
            </w:tcMar>
            <w:vAlign w:val="center"/>
          </w:tcPr>
          <w:p>
            <w:pPr>
              <w:jc w:val="left"/>
            </w:pPr>
            <w:r>
              <w:rPr>
                <w:rFonts w:ascii="Calibri" w:cs="Calibri" w:eastAsia="Calibri" w:hAnsi="Calibri"/>
                <w:b/>
                <w:bCs/>
                <w:i w:val="false"/>
                <w:iCs w:val="false"/>
                <w:color w:val="FFFFFF"/>
                <w:sz w:val="19"/>
                <w:szCs w:val="19"/>
              </w:rPr>
              <w:t xml:space="preserve">Fee (AUD) / 85% benefit</w:t>
            </w:r>
          </w:p>
        </w:tc>
      </w:tr>
      <w:tr>
        <w:tc>
          <w:tcPr>
            <w:tcW w:type="dxa" w:w="3900"/>
            <w:shd w:fill="EAF1F5" w:color="auto" w:val="clear"/>
            <w:tcMar>
              <w:top w:type="dxa" w:w="90"/>
              <w:left w:type="dxa" w:w="110"/>
              <w:bottom w:type="dxa" w:w="90"/>
              <w:right w:type="dxa" w:w="110"/>
            </w:tcMar>
            <w:vAlign w:val="center"/>
          </w:tcPr>
          <w:p>
            <w:pPr>
              <w:jc w:val="left"/>
            </w:pPr>
            <w:r>
              <w:rPr>
                <w:rFonts w:ascii="Calibri" w:cs="Calibri" w:eastAsia="Calibri" w:hAnsi="Calibri"/>
                <w:b w:val="false"/>
                <w:bCs w:val="false"/>
                <w:i w:val="false"/>
                <w:iCs w:val="false"/>
                <w:color w:val="1A1A1A"/>
                <w:sz w:val="19"/>
                <w:szCs w:val="19"/>
              </w:rPr>
              <w:t xml:space="preserve">Short antenatal, ≥10min</w:t>
            </w:r>
          </w:p>
        </w:tc>
        <w:tc>
          <w:tcPr>
            <w:tcW w:type="dxa" w:w="1800"/>
            <w:shd w:fill="EAF1F5" w:color="auto" w:val="clear"/>
            <w:tcMar>
              <w:top w:type="dxa" w:w="90"/>
              <w:left w:type="dxa" w:w="110"/>
              <w:bottom w:type="dxa" w:w="90"/>
              <w:right w:type="dxa" w:w="110"/>
            </w:tcMar>
            <w:vAlign w:val="center"/>
          </w:tcPr>
          <w:p>
            <w:pPr>
              <w:jc w:val="left"/>
            </w:pPr>
            <w:r>
              <w:rPr>
                <w:rFonts w:ascii="Calibri" w:cs="Calibri" w:eastAsia="Calibri" w:hAnsi="Calibri"/>
                <w:b w:val="false"/>
                <w:bCs w:val="false"/>
                <w:i w:val="false"/>
                <w:iCs w:val="false"/>
                <w:color w:val="1A1A1A"/>
                <w:sz w:val="19"/>
                <w:szCs w:val="19"/>
              </w:rPr>
              <w:t xml:space="preserve">91211</w:t>
            </w:r>
          </w:p>
        </w:tc>
        <w:tc>
          <w:tcPr>
            <w:tcW w:type="dxa" w:w="1800"/>
            <w:shd w:fill="EAF1F5" w:color="auto" w:val="clear"/>
            <w:tcMar>
              <w:top w:type="dxa" w:w="90"/>
              <w:left w:type="dxa" w:w="110"/>
              <w:bottom w:type="dxa" w:w="90"/>
              <w:right w:type="dxa" w:w="110"/>
            </w:tcMar>
            <w:vAlign w:val="center"/>
          </w:tcPr>
          <w:p>
            <w:pPr>
              <w:jc w:val="left"/>
            </w:pPr>
            <w:r>
              <w:rPr>
                <w:rFonts w:ascii="Calibri" w:cs="Calibri" w:eastAsia="Calibri" w:hAnsi="Calibri"/>
                <w:b w:val="false"/>
                <w:bCs w:val="false"/>
                <w:i w:val="false"/>
                <w:iCs w:val="false"/>
                <w:color w:val="1A1A1A"/>
                <w:sz w:val="19"/>
                <w:szCs w:val="19"/>
              </w:rPr>
              <w:t xml:space="preserve">91218</w:t>
            </w:r>
          </w:p>
        </w:tc>
        <w:tc>
          <w:tcPr>
            <w:tcW w:type="dxa" w:w="2200"/>
            <w:shd w:fill="EAF1F5" w:color="auto" w:val="clear"/>
            <w:tcMar>
              <w:top w:type="dxa" w:w="90"/>
              <w:left w:type="dxa" w:w="110"/>
              <w:bottom w:type="dxa" w:w="90"/>
              <w:right w:type="dxa" w:w="110"/>
            </w:tcMar>
            <w:vAlign w:val="center"/>
          </w:tcPr>
          <w:p>
            <w:pPr>
              <w:jc w:val="left"/>
            </w:pPr>
            <w:r>
              <w:rPr>
                <w:rFonts w:ascii="Calibri" w:cs="Calibri" w:eastAsia="Calibri" w:hAnsi="Calibri"/>
                <w:b w:val="false"/>
                <w:bCs w:val="false"/>
                <w:i w:val="false"/>
                <w:iCs w:val="false"/>
                <w:color w:val="1A1A1A"/>
                <w:sz w:val="19"/>
                <w:szCs w:val="19"/>
              </w:rPr>
              <w:t xml:space="preserve">$38.75 / $32.95</w:t>
            </w:r>
          </w:p>
        </w:tc>
      </w:tr>
      <w:tr>
        <w:tc>
          <w:tcPr>
            <w:tcW w:type="dxa" w:w="3900"/>
            <w:tcMar>
              <w:top w:type="dxa" w:w="90"/>
              <w:left w:type="dxa" w:w="110"/>
              <w:bottom w:type="dxa" w:w="90"/>
              <w:right w:type="dxa" w:w="110"/>
            </w:tcMar>
            <w:vAlign w:val="center"/>
          </w:tcPr>
          <w:p>
            <w:pPr>
              <w:jc w:val="left"/>
            </w:pPr>
            <w:r>
              <w:rPr>
                <w:rFonts w:ascii="Calibri" w:cs="Calibri" w:eastAsia="Calibri" w:hAnsi="Calibri"/>
                <w:b w:val="false"/>
                <w:bCs w:val="false"/>
                <w:i w:val="false"/>
                <w:iCs w:val="false"/>
                <w:color w:val="1A1A1A"/>
                <w:sz w:val="19"/>
                <w:szCs w:val="19"/>
              </w:rPr>
              <w:t xml:space="preserve">Routine antenatal, ≥40min</w:t>
            </w:r>
          </w:p>
        </w:tc>
        <w:tc>
          <w:tcPr>
            <w:tcW w:type="dxa" w:w="1800"/>
            <w:tcMar>
              <w:top w:type="dxa" w:w="90"/>
              <w:left w:type="dxa" w:w="110"/>
              <w:bottom w:type="dxa" w:w="90"/>
              <w:right w:type="dxa" w:w="110"/>
            </w:tcMar>
            <w:vAlign w:val="center"/>
          </w:tcPr>
          <w:p>
            <w:pPr>
              <w:jc w:val="left"/>
            </w:pPr>
            <w:r>
              <w:rPr>
                <w:rFonts w:ascii="Calibri" w:cs="Calibri" w:eastAsia="Calibri" w:hAnsi="Calibri"/>
                <w:b w:val="false"/>
                <w:bCs w:val="false"/>
                <w:i w:val="false"/>
                <w:iCs w:val="false"/>
                <w:color w:val="1A1A1A"/>
                <w:sz w:val="19"/>
                <w:szCs w:val="19"/>
              </w:rPr>
              <w:t xml:space="preserve">91212</w:t>
            </w:r>
          </w:p>
        </w:tc>
        <w:tc>
          <w:tcPr>
            <w:tcW w:type="dxa" w:w="1800"/>
            <w:tcMar>
              <w:top w:type="dxa" w:w="90"/>
              <w:left w:type="dxa" w:w="110"/>
              <w:bottom w:type="dxa" w:w="90"/>
              <w:right w:type="dxa" w:w="110"/>
            </w:tcMar>
            <w:vAlign w:val="center"/>
          </w:tcPr>
          <w:p>
            <w:pPr>
              <w:jc w:val="left"/>
            </w:pPr>
            <w:r>
              <w:rPr>
                <w:rFonts w:ascii="Calibri" w:cs="Calibri" w:eastAsia="Calibri" w:hAnsi="Calibri"/>
                <w:b w:val="false"/>
                <w:bCs w:val="false"/>
                <w:i w:val="false"/>
                <w:iCs w:val="false"/>
                <w:color w:val="1A1A1A"/>
                <w:sz w:val="19"/>
                <w:szCs w:val="19"/>
              </w:rPr>
              <w:t xml:space="preserve">91219</w:t>
            </w:r>
          </w:p>
        </w:tc>
        <w:tc>
          <w:tcPr>
            <w:tcW w:type="dxa" w:w="2200"/>
            <w:tcMar>
              <w:top w:type="dxa" w:w="90"/>
              <w:left w:type="dxa" w:w="110"/>
              <w:bottom w:type="dxa" w:w="90"/>
              <w:right w:type="dxa" w:w="110"/>
            </w:tcMar>
            <w:vAlign w:val="center"/>
          </w:tcPr>
          <w:p>
            <w:pPr>
              <w:jc w:val="left"/>
            </w:pPr>
            <w:r>
              <w:rPr>
                <w:rFonts w:ascii="Calibri" w:cs="Calibri" w:eastAsia="Calibri" w:hAnsi="Calibri"/>
                <w:b w:val="false"/>
                <w:bCs w:val="false"/>
                <w:i w:val="false"/>
                <w:iCs w:val="false"/>
                <w:color w:val="1A1A1A"/>
                <w:sz w:val="19"/>
                <w:szCs w:val="19"/>
              </w:rPr>
              <w:t xml:space="preserve">$89.00 / $75.65</w:t>
            </w:r>
          </w:p>
        </w:tc>
      </w:tr>
      <w:tr>
        <w:tc>
          <w:tcPr>
            <w:tcW w:type="dxa" w:w="3900"/>
            <w:shd w:fill="EAF1F5" w:color="auto" w:val="clear"/>
            <w:tcMar>
              <w:top w:type="dxa" w:w="90"/>
              <w:left w:type="dxa" w:w="110"/>
              <w:bottom w:type="dxa" w:w="90"/>
              <w:right w:type="dxa" w:w="110"/>
            </w:tcMar>
            <w:vAlign w:val="center"/>
          </w:tcPr>
          <w:p>
            <w:pPr>
              <w:jc w:val="left"/>
            </w:pPr>
            <w:r>
              <w:rPr>
                <w:rFonts w:ascii="Calibri" w:cs="Calibri" w:eastAsia="Calibri" w:hAnsi="Calibri"/>
                <w:b w:val="false"/>
                <w:bCs w:val="false"/>
                <w:i w:val="false"/>
                <w:iCs w:val="false"/>
                <w:color w:val="1A1A1A"/>
                <w:sz w:val="19"/>
                <w:szCs w:val="19"/>
              </w:rPr>
              <w:t xml:space="preserve">Short postnatal, ≥20min</w:t>
            </w:r>
          </w:p>
        </w:tc>
        <w:tc>
          <w:tcPr>
            <w:tcW w:type="dxa" w:w="1800"/>
            <w:shd w:fill="EAF1F5" w:color="auto" w:val="clear"/>
            <w:tcMar>
              <w:top w:type="dxa" w:w="90"/>
              <w:left w:type="dxa" w:w="110"/>
              <w:bottom w:type="dxa" w:w="90"/>
              <w:right w:type="dxa" w:w="110"/>
            </w:tcMar>
            <w:vAlign w:val="center"/>
          </w:tcPr>
          <w:p>
            <w:pPr>
              <w:jc w:val="left"/>
            </w:pPr>
            <w:r>
              <w:rPr>
                <w:rFonts w:ascii="Calibri" w:cs="Calibri" w:eastAsia="Calibri" w:hAnsi="Calibri"/>
                <w:b w:val="false"/>
                <w:bCs w:val="false"/>
                <w:i w:val="false"/>
                <w:iCs w:val="false"/>
                <w:color w:val="1A1A1A"/>
                <w:sz w:val="19"/>
                <w:szCs w:val="19"/>
              </w:rPr>
              <w:t xml:space="preserve">91214</w:t>
            </w:r>
          </w:p>
        </w:tc>
        <w:tc>
          <w:tcPr>
            <w:tcW w:type="dxa" w:w="1800"/>
            <w:shd w:fill="EAF1F5" w:color="auto" w:val="clear"/>
            <w:tcMar>
              <w:top w:type="dxa" w:w="90"/>
              <w:left w:type="dxa" w:w="110"/>
              <w:bottom w:type="dxa" w:w="90"/>
              <w:right w:type="dxa" w:w="110"/>
            </w:tcMar>
            <w:vAlign w:val="center"/>
          </w:tcPr>
          <w:p>
            <w:pPr>
              <w:jc w:val="left"/>
            </w:pPr>
            <w:r>
              <w:rPr>
                <w:rFonts w:ascii="Calibri" w:cs="Calibri" w:eastAsia="Calibri" w:hAnsi="Calibri"/>
                <w:b w:val="false"/>
                <w:bCs w:val="false"/>
                <w:i w:val="false"/>
                <w:iCs w:val="false"/>
                <w:color w:val="1A1A1A"/>
                <w:sz w:val="19"/>
                <w:szCs w:val="19"/>
              </w:rPr>
              <w:t xml:space="preserve">91221</w:t>
            </w:r>
          </w:p>
        </w:tc>
        <w:tc>
          <w:tcPr>
            <w:tcW w:type="dxa" w:w="2200"/>
            <w:shd w:fill="EAF1F5" w:color="auto" w:val="clear"/>
            <w:tcMar>
              <w:top w:type="dxa" w:w="90"/>
              <w:left w:type="dxa" w:w="110"/>
              <w:bottom w:type="dxa" w:w="90"/>
              <w:right w:type="dxa" w:w="110"/>
            </w:tcMar>
            <w:vAlign w:val="center"/>
          </w:tcPr>
          <w:p>
            <w:pPr>
              <w:jc w:val="left"/>
            </w:pPr>
            <w:r>
              <w:rPr>
                <w:rFonts w:ascii="Calibri" w:cs="Calibri" w:eastAsia="Calibri" w:hAnsi="Calibri"/>
                <w:b w:val="false"/>
                <w:bCs w:val="false"/>
                <w:i w:val="false"/>
                <w:iCs w:val="false"/>
                <w:color w:val="1A1A1A"/>
                <w:sz w:val="19"/>
                <w:szCs w:val="19"/>
              </w:rPr>
              <w:t xml:space="preserve">$63.90 / $54.35</w:t>
            </w:r>
          </w:p>
        </w:tc>
      </w:tr>
      <w:tr>
        <w:tc>
          <w:tcPr>
            <w:tcW w:type="dxa" w:w="3900"/>
            <w:tcMar>
              <w:top w:type="dxa" w:w="90"/>
              <w:left w:type="dxa" w:w="110"/>
              <w:bottom w:type="dxa" w:w="90"/>
              <w:right w:type="dxa" w:w="110"/>
            </w:tcMar>
            <w:vAlign w:val="center"/>
          </w:tcPr>
          <w:p>
            <w:pPr>
              <w:jc w:val="left"/>
            </w:pPr>
            <w:r>
              <w:rPr>
                <w:rFonts w:ascii="Calibri" w:cs="Calibri" w:eastAsia="Calibri" w:hAnsi="Calibri"/>
                <w:b w:val="false"/>
                <w:bCs w:val="false"/>
                <w:i w:val="false"/>
                <w:iCs w:val="false"/>
                <w:color w:val="1A1A1A"/>
                <w:sz w:val="19"/>
                <w:szCs w:val="19"/>
              </w:rPr>
              <w:t xml:space="preserve">Routine postnatal, ≥40min</w:t>
            </w:r>
          </w:p>
        </w:tc>
        <w:tc>
          <w:tcPr>
            <w:tcW w:type="dxa" w:w="1800"/>
            <w:tcMar>
              <w:top w:type="dxa" w:w="90"/>
              <w:left w:type="dxa" w:w="110"/>
              <w:bottom w:type="dxa" w:w="90"/>
              <w:right w:type="dxa" w:w="110"/>
            </w:tcMar>
            <w:vAlign w:val="center"/>
          </w:tcPr>
          <w:p>
            <w:pPr>
              <w:jc w:val="left"/>
            </w:pPr>
            <w:r>
              <w:rPr>
                <w:rFonts w:ascii="Calibri" w:cs="Calibri" w:eastAsia="Calibri" w:hAnsi="Calibri"/>
                <w:b w:val="false"/>
                <w:bCs w:val="false"/>
                <w:i w:val="false"/>
                <w:iCs w:val="false"/>
                <w:color w:val="1A1A1A"/>
                <w:sz w:val="19"/>
                <w:szCs w:val="19"/>
              </w:rPr>
              <w:t xml:space="preserve">91215</w:t>
            </w:r>
          </w:p>
        </w:tc>
        <w:tc>
          <w:tcPr>
            <w:tcW w:type="dxa" w:w="1800"/>
            <w:tcMar>
              <w:top w:type="dxa" w:w="90"/>
              <w:left w:type="dxa" w:w="110"/>
              <w:bottom w:type="dxa" w:w="90"/>
              <w:right w:type="dxa" w:w="110"/>
            </w:tcMar>
            <w:vAlign w:val="center"/>
          </w:tcPr>
          <w:p>
            <w:pPr>
              <w:jc w:val="left"/>
            </w:pPr>
            <w:r>
              <w:rPr>
                <w:rFonts w:ascii="Calibri" w:cs="Calibri" w:eastAsia="Calibri" w:hAnsi="Calibri"/>
                <w:b w:val="false"/>
                <w:bCs w:val="false"/>
                <w:i w:val="false"/>
                <w:iCs w:val="false"/>
                <w:color w:val="1A1A1A"/>
                <w:sz w:val="19"/>
                <w:szCs w:val="19"/>
              </w:rPr>
              <w:t xml:space="preserve">91222</w:t>
            </w:r>
          </w:p>
        </w:tc>
        <w:tc>
          <w:tcPr>
            <w:tcW w:type="dxa" w:w="2200"/>
            <w:tcMar>
              <w:top w:type="dxa" w:w="90"/>
              <w:left w:type="dxa" w:w="110"/>
              <w:bottom w:type="dxa" w:w="90"/>
              <w:right w:type="dxa" w:w="110"/>
            </w:tcMar>
            <w:vAlign w:val="center"/>
          </w:tcPr>
          <w:p>
            <w:pPr>
              <w:jc w:val="left"/>
            </w:pPr>
            <w:r>
              <w:rPr>
                <w:rFonts w:ascii="Calibri" w:cs="Calibri" w:eastAsia="Calibri" w:hAnsi="Calibri"/>
                <w:b w:val="false"/>
                <w:bCs w:val="false"/>
                <w:i w:val="false"/>
                <w:iCs w:val="false"/>
                <w:color w:val="1A1A1A"/>
                <w:sz w:val="19"/>
                <w:szCs w:val="19"/>
              </w:rPr>
              <w:t xml:space="preserve">$130.80 / $111.20</w:t>
            </w:r>
          </w:p>
        </w:tc>
      </w:tr>
    </w:tbl>
    <w:p>
      <w:pPr>
        <w:spacing w:after="220"/>
      </w:pPr>
    </w:p>
    <w:p>
      <w:pPr>
        <w:pStyle w:val="Heading3"/>
        <w:spacing w:after="100" w:before="240"/>
      </w:pPr>
      <w:r>
        <w:rPr>
          <w:rFonts w:ascii="Calibri" w:cs="Calibri" w:eastAsia="Calibri" w:hAnsi="Calibri"/>
          <w:b/>
          <w:bCs/>
          <w:color w:val="1A1A1A"/>
          <w:sz w:val="21"/>
          <w:szCs w:val="21"/>
        </w:rPr>
        <w:t xml:space="preserve">Note MN.13.10 — Where Medicare benefits are not payable</w:t>
      </w:r>
    </w:p>
    <w:p>
      <w:pPr>
        <w:spacing w:after="160" w:line="276"/>
      </w:pPr>
      <w:r>
        <w:rPr>
          <w:rFonts w:ascii="Calibri" w:cs="Calibri" w:eastAsia="Calibri" w:hAnsi="Calibri"/>
          <w:color w:val="1A1A1A"/>
          <w:sz w:val="21"/>
          <w:szCs w:val="21"/>
        </w:rPr>
        <w:t xml:space="preserve">Benefits are not available where: the service does not meet the item description and requirements; the midwifery service is not personally performed by the participating midwife; a time-based item includes non-active-attention time (e.g. travel, or a patient resting between observations); the patient is not in attendance (e.g. repeat prescriptions); the service is a group session; or the service is provided by a lactation consultant (though breastfeeding support within a midwife's postnatal care remains payable). Fees must not include the cost of non-MBS goods or appliances (e.g. dressings).</w:t>
      </w:r>
    </w:p>
    <w:p>
      <w:pPr>
        <w:pStyle w:val="Heading3"/>
        <w:spacing w:after="100" w:before="240"/>
      </w:pPr>
      <w:r>
        <w:rPr>
          <w:rFonts w:ascii="Calibri" w:cs="Calibri" w:eastAsia="Calibri" w:hAnsi="Calibri"/>
          <w:b/>
          <w:bCs/>
          <w:color w:val="1A1A1A"/>
          <w:sz w:val="21"/>
          <w:szCs w:val="21"/>
        </w:rPr>
        <w:t xml:space="preserve">Note MN.13.16 — Continuity-of-care requirements</w:t>
      </w:r>
    </w:p>
    <w:p>
      <w:pPr>
        <w:spacing w:after="160" w:line="276"/>
      </w:pPr>
      <w:r>
        <w:rPr>
          <w:rFonts w:ascii="Calibri" w:cs="Calibri" w:eastAsia="Calibri" w:hAnsi="Calibri"/>
          <w:color w:val="1A1A1A"/>
          <w:sz w:val="21"/>
          <w:szCs w:val="21"/>
        </w:rPr>
        <w:t xml:space="preserve">Item 82115 requires at least two antenatal attendances (82100, 82105, 82110, 82102, 91211, 91212, 91218 or 91219) with the claiming midwife in the preceding six months, and cannot be claimed if 16590 or 16591 has already been claimed for the same pregnancy, except in exceptional circumstances such as a significant change in the patient's clinical condition. Items 82116–82127 each require the attending midwife to have provided, or be a member of a practice that provided, the patient's antenatal care.</w:t>
      </w:r>
    </w:p>
    <w:p>
      <w:r>
        <w:br w:type="page"/>
      </w:r>
    </w:p>
    <w:p>
      <w:pPr>
        <w:pStyle w:val="Heading1"/>
        <w:pBdr>
          <w:bottom w:val="single" w:color="1F3A52" w:sz="8" w:space="4"/>
        </w:pBdr>
        <w:spacing w:after="200" w:before="480"/>
      </w:pPr>
      <w:r>
        <w:rPr>
          <w:rFonts w:ascii="Calibri" w:cs="Calibri" w:eastAsia="Calibri" w:hAnsi="Calibri"/>
          <w:b/>
          <w:bCs/>
          <w:color w:val="1F3A52"/>
          <w:sz w:val="30"/>
          <w:szCs w:val="30"/>
        </w:rPr>
        <w:t xml:space="preserve">Part 4 — Cross-cutting structural comparison</w:t>
      </w:r>
    </w:p>
    <w:p>
      <w:pPr>
        <w:spacing w:after="160" w:line="276"/>
      </w:pPr>
      <w:r>
        <w:rPr>
          <w:rFonts w:ascii="Calibri" w:cs="Calibri" w:eastAsia="Calibri" w:hAnsi="Calibri"/>
          <w:color w:val="1A1A1A"/>
          <w:sz w:val="21"/>
          <w:szCs w:val="21"/>
        </w:rPr>
        <w:t xml:space="preserve">The three billing models above are not interchangeable design choices — each carries its own delegation rules, telehealth gates, and referral limits, and two carry a direct mutual-exclusion clause against each other.</w:t>
      </w:r>
    </w:p>
    <w:p>
      <w:pPr>
        <w:pStyle w:val="Heading2"/>
        <w:spacing w:after="140" w:before="340"/>
      </w:pPr>
      <w:r>
        <w:rPr>
          <w:rFonts w:ascii="Calibri" w:cs="Calibri" w:eastAsia="Calibri" w:hAnsi="Calibri"/>
          <w:b/>
          <w:bCs/>
          <w:color w:val="3F6C8A"/>
          <w:sz w:val="24"/>
          <w:szCs w:val="24"/>
        </w:rPr>
        <w:t xml:space="preserve">4.1 — Billing model comparison</w:t>
      </w:r>
    </w:p>
    <w:tbl>
      <w:tblPr>
        <w:tblW w:type="dxa" w:w="9700"/>
        <w:tblBorders>
          <w:top w:val="single" w:color="C7D3D9" w:sz="4"/>
          <w:left w:val="single" w:color="C7D3D9" w:sz="4"/>
          <w:bottom w:val="single" w:color="C7D3D9" w:sz="4"/>
          <w:right w:val="single" w:color="C7D3D9" w:sz="4"/>
          <w:insideH w:val="single" w:color="C7D3D9" w:sz="4"/>
          <w:insideV w:val="single" w:color="C7D3D9" w:sz="4"/>
        </w:tblBorders>
      </w:tblPr>
      <w:tblGrid>
        <w:gridCol w:w="1600"/>
        <w:gridCol w:w="2700"/>
        <w:gridCol w:w="2700"/>
        <w:gridCol w:w="2700"/>
      </w:tblGrid>
      <w:tr>
        <w:trPr>
          <w:tblHeader/>
        </w:trPr>
        <w:tc>
          <w:tcPr>
            <w:tcW w:type="dxa" w:w="1600"/>
            <w:shd w:fill="1F3A52" w:color="auto" w:val="clear"/>
            <w:tcMar>
              <w:top w:type="dxa" w:w="90"/>
              <w:left w:type="dxa" w:w="110"/>
              <w:bottom w:type="dxa" w:w="90"/>
              <w:right w:type="dxa" w:w="110"/>
            </w:tcMar>
            <w:vAlign w:val="center"/>
          </w:tcPr>
          <w:p>
            <w:pPr>
              <w:jc w:val="left"/>
            </w:pPr>
            <w:r>
              <w:rPr>
                <w:rFonts w:ascii="Calibri" w:cs="Calibri" w:eastAsia="Calibri" w:hAnsi="Calibri"/>
                <w:b/>
                <w:bCs/>
                <w:i w:val="false"/>
                <w:iCs w:val="false"/>
                <w:color w:val="FFFFFF"/>
                <w:sz w:val="19"/>
                <w:szCs w:val="19"/>
              </w:rPr>
              <w:t xml:space="preserve"/>
            </w:r>
          </w:p>
        </w:tc>
        <w:tc>
          <w:tcPr>
            <w:tcW w:type="dxa" w:w="2700"/>
            <w:shd w:fill="1F3A52" w:color="auto" w:val="clear"/>
            <w:tcMar>
              <w:top w:type="dxa" w:w="90"/>
              <w:left w:type="dxa" w:w="110"/>
              <w:bottom w:type="dxa" w:w="90"/>
              <w:right w:type="dxa" w:w="110"/>
            </w:tcMar>
            <w:vAlign w:val="center"/>
          </w:tcPr>
          <w:p>
            <w:pPr>
              <w:jc w:val="left"/>
            </w:pPr>
            <w:r>
              <w:rPr>
                <w:rFonts w:ascii="Calibri" w:cs="Calibri" w:eastAsia="Calibri" w:hAnsi="Calibri"/>
                <w:b/>
                <w:bCs/>
                <w:i w:val="false"/>
                <w:iCs w:val="false"/>
                <w:color w:val="FFFFFF"/>
                <w:sz w:val="19"/>
                <w:szCs w:val="19"/>
              </w:rPr>
              <w:t xml:space="preserve">Obstetric items (16407/16590/16591)</w:t>
            </w:r>
          </w:p>
        </w:tc>
        <w:tc>
          <w:tcPr>
            <w:tcW w:type="dxa" w:w="2700"/>
            <w:shd w:fill="1F3A52" w:color="auto" w:val="clear"/>
            <w:tcMar>
              <w:top w:type="dxa" w:w="90"/>
              <w:left w:type="dxa" w:w="110"/>
              <w:bottom w:type="dxa" w:w="90"/>
              <w:right w:type="dxa" w:w="110"/>
            </w:tcMar>
            <w:vAlign w:val="center"/>
          </w:tcPr>
          <w:p>
            <w:pPr>
              <w:jc w:val="left"/>
            </w:pPr>
            <w:r>
              <w:rPr>
                <w:rFonts w:ascii="Calibri" w:cs="Calibri" w:eastAsia="Calibri" w:hAnsi="Calibri"/>
                <w:b/>
                <w:bCs/>
                <w:i w:val="false"/>
                <w:iCs w:val="false"/>
                <w:color w:val="FFFFFF"/>
                <w:sz w:val="19"/>
                <w:szCs w:val="19"/>
              </w:rPr>
              <w:t xml:space="preserve">NP items (82200-series)</w:t>
            </w:r>
          </w:p>
        </w:tc>
        <w:tc>
          <w:tcPr>
            <w:tcW w:type="dxa" w:w="2700"/>
            <w:shd w:fill="1F3A52" w:color="auto" w:val="clear"/>
            <w:tcMar>
              <w:top w:type="dxa" w:w="90"/>
              <w:left w:type="dxa" w:w="110"/>
              <w:bottom w:type="dxa" w:w="90"/>
              <w:right w:type="dxa" w:w="110"/>
            </w:tcMar>
            <w:vAlign w:val="center"/>
          </w:tcPr>
          <w:p>
            <w:pPr>
              <w:jc w:val="left"/>
            </w:pPr>
            <w:r>
              <w:rPr>
                <w:rFonts w:ascii="Calibri" w:cs="Calibri" w:eastAsia="Calibri" w:hAnsi="Calibri"/>
                <w:b/>
                <w:bCs/>
                <w:i w:val="false"/>
                <w:iCs w:val="false"/>
                <w:color w:val="FFFFFF"/>
                <w:sz w:val="19"/>
                <w:szCs w:val="19"/>
              </w:rPr>
              <w:t xml:space="preserve">Midwifery items (82100-series)</w:t>
            </w:r>
          </w:p>
        </w:tc>
      </w:tr>
      <w:tr>
        <w:tc>
          <w:tcPr>
            <w:tcW w:type="dxa" w:w="1600"/>
            <w:shd w:fill="EAF1F5" w:color="auto" w:val="clear"/>
            <w:tcMar>
              <w:top w:type="dxa" w:w="90"/>
              <w:left w:type="dxa" w:w="110"/>
              <w:bottom w:type="dxa" w:w="90"/>
              <w:right w:type="dxa" w:w="110"/>
            </w:tcMar>
            <w:vAlign w:val="center"/>
          </w:tcPr>
          <w:p>
            <w:pPr>
              <w:jc w:val="left"/>
            </w:pPr>
            <w:r>
              <w:rPr>
                <w:rFonts w:ascii="Calibri" w:cs="Calibri" w:eastAsia="Calibri" w:hAnsi="Calibri"/>
                <w:b w:val="false"/>
                <w:bCs w:val="false"/>
                <w:i w:val="false"/>
                <w:iCs w:val="false"/>
                <w:color w:val="1A1A1A"/>
                <w:sz w:val="19"/>
                <w:szCs w:val="19"/>
              </w:rPr>
              <w:t xml:space="preserve">Billed under</w:t>
            </w:r>
          </w:p>
        </w:tc>
        <w:tc>
          <w:tcPr>
            <w:tcW w:type="dxa" w:w="2700"/>
            <w:shd w:fill="EAF1F5" w:color="auto" w:val="clear"/>
            <w:tcMar>
              <w:top w:type="dxa" w:w="90"/>
              <w:left w:type="dxa" w:w="110"/>
              <w:bottom w:type="dxa" w:w="90"/>
              <w:right w:type="dxa" w:w="110"/>
            </w:tcMar>
            <w:vAlign w:val="center"/>
          </w:tcPr>
          <w:p>
            <w:pPr>
              <w:jc w:val="left"/>
            </w:pPr>
            <w:r>
              <w:rPr>
                <w:rFonts w:ascii="Calibri" w:cs="Calibri" w:eastAsia="Calibri" w:hAnsi="Calibri"/>
                <w:b w:val="false"/>
                <w:bCs w:val="false"/>
                <w:i w:val="false"/>
                <w:iCs w:val="false"/>
                <w:color w:val="1A1A1A"/>
                <w:sz w:val="19"/>
                <w:szCs w:val="19"/>
              </w:rPr>
              <w:t xml:space="preserve">Doctor's provider number</w:t>
            </w:r>
          </w:p>
        </w:tc>
        <w:tc>
          <w:tcPr>
            <w:tcW w:type="dxa" w:w="2700"/>
            <w:shd w:fill="EAF1F5" w:color="auto" w:val="clear"/>
            <w:tcMar>
              <w:top w:type="dxa" w:w="90"/>
              <w:left w:type="dxa" w:w="110"/>
              <w:bottom w:type="dxa" w:w="90"/>
              <w:right w:type="dxa" w:w="110"/>
            </w:tcMar>
            <w:vAlign w:val="center"/>
          </w:tcPr>
          <w:p>
            <w:pPr>
              <w:jc w:val="left"/>
            </w:pPr>
            <w:r>
              <w:rPr>
                <w:rFonts w:ascii="Calibri" w:cs="Calibri" w:eastAsia="Calibri" w:hAnsi="Calibri"/>
                <w:b w:val="false"/>
                <w:bCs w:val="false"/>
                <w:i w:val="false"/>
                <w:iCs w:val="false"/>
                <w:color w:val="1A1A1A"/>
                <w:sz w:val="19"/>
                <w:szCs w:val="19"/>
              </w:rPr>
              <w:t xml:space="preserve">NP's own provider number</w:t>
            </w:r>
          </w:p>
        </w:tc>
        <w:tc>
          <w:tcPr>
            <w:tcW w:type="dxa" w:w="2700"/>
            <w:shd w:fill="EAF1F5" w:color="auto" w:val="clear"/>
            <w:tcMar>
              <w:top w:type="dxa" w:w="90"/>
              <w:left w:type="dxa" w:w="110"/>
              <w:bottom w:type="dxa" w:w="90"/>
              <w:right w:type="dxa" w:w="110"/>
            </w:tcMar>
            <w:vAlign w:val="center"/>
          </w:tcPr>
          <w:p>
            <w:pPr>
              <w:jc w:val="left"/>
            </w:pPr>
            <w:r>
              <w:rPr>
                <w:rFonts w:ascii="Calibri" w:cs="Calibri" w:eastAsia="Calibri" w:hAnsi="Calibri"/>
                <w:b w:val="false"/>
                <w:bCs w:val="false"/>
                <w:i w:val="false"/>
                <w:iCs w:val="false"/>
                <w:color w:val="1A1A1A"/>
                <w:sz w:val="19"/>
                <w:szCs w:val="19"/>
              </w:rPr>
              <w:t xml:space="preserve">Midwife's own provider number</w:t>
            </w:r>
          </w:p>
        </w:tc>
      </w:tr>
      <w:tr>
        <w:tc>
          <w:tcPr>
            <w:tcW w:type="dxa" w:w="1600"/>
            <w:tcMar>
              <w:top w:type="dxa" w:w="90"/>
              <w:left w:type="dxa" w:w="110"/>
              <w:bottom w:type="dxa" w:w="90"/>
              <w:right w:type="dxa" w:w="110"/>
            </w:tcMar>
            <w:vAlign w:val="center"/>
          </w:tcPr>
          <w:p>
            <w:pPr>
              <w:jc w:val="left"/>
            </w:pPr>
            <w:r>
              <w:rPr>
                <w:rFonts w:ascii="Calibri" w:cs="Calibri" w:eastAsia="Calibri" w:hAnsi="Calibri"/>
                <w:b w:val="false"/>
                <w:bCs w:val="false"/>
                <w:i w:val="false"/>
                <w:iCs w:val="false"/>
                <w:color w:val="1A1A1A"/>
                <w:sz w:val="19"/>
                <w:szCs w:val="19"/>
              </w:rPr>
              <w:t xml:space="preserve">Who can perform the clinical task</w:t>
            </w:r>
          </w:p>
        </w:tc>
        <w:tc>
          <w:tcPr>
            <w:tcW w:type="dxa" w:w="2700"/>
            <w:tcMar>
              <w:top w:type="dxa" w:w="90"/>
              <w:left w:type="dxa" w:w="110"/>
              <w:bottom w:type="dxa" w:w="90"/>
              <w:right w:type="dxa" w:w="110"/>
            </w:tcMar>
            <w:vAlign w:val="center"/>
          </w:tcPr>
          <w:p>
            <w:pPr>
              <w:jc w:val="left"/>
            </w:pPr>
            <w:r>
              <w:rPr>
                <w:rFonts w:ascii="Calibri" w:cs="Calibri" w:eastAsia="Calibri" w:hAnsi="Calibri"/>
                <w:b w:val="false"/>
                <w:bCs w:val="false"/>
                <w:i w:val="false"/>
                <w:iCs w:val="false"/>
                <w:color w:val="1A1A1A"/>
                <w:sz w:val="19"/>
                <w:szCs w:val="19"/>
              </w:rPr>
              <w:t xml:space="preserve">Doctor, or a delegate acting on the doctor's behalf (mental health assessment specifically)</w:t>
            </w:r>
          </w:p>
        </w:tc>
        <w:tc>
          <w:tcPr>
            <w:tcW w:type="dxa" w:w="2700"/>
            <w:tcMar>
              <w:top w:type="dxa" w:w="90"/>
              <w:left w:type="dxa" w:w="110"/>
              <w:bottom w:type="dxa" w:w="90"/>
              <w:right w:type="dxa" w:w="110"/>
            </w:tcMar>
            <w:vAlign w:val="center"/>
          </w:tcPr>
          <w:p>
            <w:pPr>
              <w:jc w:val="left"/>
            </w:pPr>
            <w:r>
              <w:rPr>
                <w:rFonts w:ascii="Calibri" w:cs="Calibri" w:eastAsia="Calibri" w:hAnsi="Calibri"/>
                <w:b w:val="false"/>
                <w:bCs w:val="false"/>
                <w:i w:val="false"/>
                <w:iCs w:val="false"/>
                <w:color w:val="1A1A1A"/>
                <w:sz w:val="19"/>
                <w:szCs w:val="19"/>
              </w:rPr>
              <w:t xml:space="preserve">The NP personally</w:t>
            </w:r>
          </w:p>
        </w:tc>
        <w:tc>
          <w:tcPr>
            <w:tcW w:type="dxa" w:w="2700"/>
            <w:tcMar>
              <w:top w:type="dxa" w:w="90"/>
              <w:left w:type="dxa" w:w="110"/>
              <w:bottom w:type="dxa" w:w="90"/>
              <w:right w:type="dxa" w:w="110"/>
            </w:tcMar>
            <w:vAlign w:val="center"/>
          </w:tcPr>
          <w:p>
            <w:pPr>
              <w:jc w:val="left"/>
            </w:pPr>
            <w:r>
              <w:rPr>
                <w:rFonts w:ascii="Calibri" w:cs="Calibri" w:eastAsia="Calibri" w:hAnsi="Calibri"/>
                <w:b w:val="false"/>
                <w:bCs w:val="false"/>
                <w:i w:val="false"/>
                <w:iCs w:val="false"/>
                <w:color w:val="1A1A1A"/>
                <w:sz w:val="19"/>
                <w:szCs w:val="19"/>
              </w:rPr>
              <w:t xml:space="preserve">The midwife personally — MN.13.10 excludes benefits if not personally performed</w:t>
            </w:r>
          </w:p>
        </w:tc>
      </w:tr>
      <w:tr>
        <w:tc>
          <w:tcPr>
            <w:tcW w:type="dxa" w:w="1600"/>
            <w:shd w:fill="EAF1F5" w:color="auto" w:val="clear"/>
            <w:tcMar>
              <w:top w:type="dxa" w:w="90"/>
              <w:left w:type="dxa" w:w="110"/>
              <w:bottom w:type="dxa" w:w="90"/>
              <w:right w:type="dxa" w:w="110"/>
            </w:tcMar>
            <w:vAlign w:val="center"/>
          </w:tcPr>
          <w:p>
            <w:pPr>
              <w:jc w:val="left"/>
            </w:pPr>
            <w:r>
              <w:rPr>
                <w:rFonts w:ascii="Calibri" w:cs="Calibri" w:eastAsia="Calibri" w:hAnsi="Calibri"/>
                <w:b w:val="false"/>
                <w:bCs w:val="false"/>
                <w:i w:val="false"/>
                <w:iCs w:val="false"/>
                <w:color w:val="1A1A1A"/>
                <w:sz w:val="19"/>
                <w:szCs w:val="19"/>
              </w:rPr>
              <w:t xml:space="preserve">Telehealth eligibility gate</w:t>
            </w:r>
          </w:p>
        </w:tc>
        <w:tc>
          <w:tcPr>
            <w:tcW w:type="dxa" w:w="2700"/>
            <w:shd w:fill="EAF1F5" w:color="auto" w:val="clear"/>
            <w:tcMar>
              <w:top w:type="dxa" w:w="90"/>
              <w:left w:type="dxa" w:w="110"/>
              <w:bottom w:type="dxa" w:w="90"/>
              <w:right w:type="dxa" w:w="110"/>
            </w:tcMar>
            <w:vAlign w:val="center"/>
          </w:tcPr>
          <w:p>
            <w:pPr>
              <w:jc w:val="left"/>
            </w:pPr>
            <w:r>
              <w:rPr>
                <w:rFonts w:ascii="Calibri" w:cs="Calibri" w:eastAsia="Calibri" w:hAnsi="Calibri"/>
                <w:b w:val="false"/>
                <w:bCs w:val="false"/>
                <w:i w:val="false"/>
                <w:iCs w:val="false"/>
                <w:color w:val="1A1A1A"/>
                <w:sz w:val="19"/>
                <w:szCs w:val="19"/>
              </w:rPr>
              <w:t xml:space="preserve">Not evident in items reviewed</w:t>
            </w:r>
          </w:p>
        </w:tc>
        <w:tc>
          <w:tcPr>
            <w:tcW w:type="dxa" w:w="2700"/>
            <w:shd w:fill="EAF1F5" w:color="auto" w:val="clear"/>
            <w:tcMar>
              <w:top w:type="dxa" w:w="90"/>
              <w:left w:type="dxa" w:w="110"/>
              <w:bottom w:type="dxa" w:w="90"/>
              <w:right w:type="dxa" w:w="110"/>
            </w:tcMar>
            <w:vAlign w:val="center"/>
          </w:tcPr>
          <w:p>
            <w:pPr>
              <w:jc w:val="left"/>
            </w:pPr>
            <w:r>
              <w:rPr>
                <w:rFonts w:ascii="Calibri" w:cs="Calibri" w:eastAsia="Calibri" w:hAnsi="Calibri"/>
                <w:b w:val="false"/>
                <w:bCs w:val="false"/>
                <w:i w:val="false"/>
                <w:iCs w:val="false"/>
                <w:color w:val="1A1A1A"/>
                <w:sz w:val="19"/>
                <w:szCs w:val="19"/>
              </w:rPr>
              <w:t xml:space="preserve">MN.0.1 — must be patient's eligible telehealth practitioner (12mo prior face-to-face, personally or via practice)</w:t>
            </w:r>
          </w:p>
        </w:tc>
        <w:tc>
          <w:tcPr>
            <w:tcW w:type="dxa" w:w="2700"/>
            <w:shd w:fill="EAF1F5" w:color="auto" w:val="clear"/>
            <w:tcMar>
              <w:top w:type="dxa" w:w="90"/>
              <w:left w:type="dxa" w:w="110"/>
              <w:bottom w:type="dxa" w:w="90"/>
              <w:right w:type="dxa" w:w="110"/>
            </w:tcMar>
            <w:vAlign w:val="center"/>
          </w:tcPr>
          <w:p>
            <w:pPr>
              <w:jc w:val="left"/>
            </w:pPr>
            <w:r>
              <w:rPr>
                <w:rFonts w:ascii="Calibri" w:cs="Calibri" w:eastAsia="Calibri" w:hAnsi="Calibri"/>
                <w:b w:val="false"/>
                <w:bCs w:val="false"/>
                <w:i w:val="false"/>
                <w:iCs w:val="false"/>
                <w:color w:val="1A1A1A"/>
                <w:sz w:val="19"/>
                <w:szCs w:val="19"/>
              </w:rPr>
              <w:t xml:space="preserve">Not evident in items reviewed</w:t>
            </w:r>
          </w:p>
        </w:tc>
      </w:tr>
      <w:tr>
        <w:tc>
          <w:tcPr>
            <w:tcW w:type="dxa" w:w="1600"/>
            <w:tcMar>
              <w:top w:type="dxa" w:w="90"/>
              <w:left w:type="dxa" w:w="110"/>
              <w:bottom w:type="dxa" w:w="90"/>
              <w:right w:type="dxa" w:w="110"/>
            </w:tcMar>
            <w:vAlign w:val="center"/>
          </w:tcPr>
          <w:p>
            <w:pPr>
              <w:jc w:val="left"/>
            </w:pPr>
            <w:r>
              <w:rPr>
                <w:rFonts w:ascii="Calibri" w:cs="Calibri" w:eastAsia="Calibri" w:hAnsi="Calibri"/>
                <w:b w:val="false"/>
                <w:bCs w:val="false"/>
                <w:i w:val="false"/>
                <w:iCs w:val="false"/>
                <w:color w:val="1A1A1A"/>
                <w:sz w:val="19"/>
                <w:szCs w:val="19"/>
              </w:rPr>
              <w:t xml:space="preserve">Referral rights</w:t>
            </w:r>
          </w:p>
        </w:tc>
        <w:tc>
          <w:tcPr>
            <w:tcW w:type="dxa" w:w="2700"/>
            <w:tcMar>
              <w:top w:type="dxa" w:w="90"/>
              <w:left w:type="dxa" w:w="110"/>
              <w:bottom w:type="dxa" w:w="90"/>
              <w:right w:type="dxa" w:w="110"/>
            </w:tcMar>
            <w:vAlign w:val="center"/>
          </w:tcPr>
          <w:p>
            <w:pPr>
              <w:jc w:val="left"/>
            </w:pPr>
            <w:r>
              <w:rPr>
                <w:rFonts w:ascii="Calibri" w:cs="Calibri" w:eastAsia="Calibri" w:hAnsi="Calibri"/>
                <w:b w:val="false"/>
                <w:bCs w:val="false"/>
                <w:i w:val="false"/>
                <w:iCs w:val="false"/>
                <w:color w:val="1A1A1A"/>
                <w:sz w:val="19"/>
                <w:szCs w:val="19"/>
              </w:rPr>
              <w:t xml:space="preserve">Full referral rights (doctor)</w:t>
            </w:r>
          </w:p>
        </w:tc>
        <w:tc>
          <w:tcPr>
            <w:tcW w:type="dxa" w:w="2700"/>
            <w:tcMar>
              <w:top w:type="dxa" w:w="90"/>
              <w:left w:type="dxa" w:w="110"/>
              <w:bottom w:type="dxa" w:w="90"/>
              <w:right w:type="dxa" w:w="110"/>
            </w:tcMar>
            <w:vAlign w:val="center"/>
          </w:tcPr>
          <w:p>
            <w:pPr>
              <w:jc w:val="left"/>
            </w:pPr>
            <w:r>
              <w:rPr>
                <w:rFonts w:ascii="Calibri" w:cs="Calibri" w:eastAsia="Calibri" w:hAnsi="Calibri"/>
                <w:b w:val="false"/>
                <w:bCs w:val="false"/>
                <w:i w:val="false"/>
                <w:iCs w:val="false"/>
                <w:color w:val="1A1A1A"/>
                <w:sz w:val="19"/>
                <w:szCs w:val="19"/>
              </w:rPr>
              <w:t xml:space="preserve">Can refer to specialists/consultant physicians; cannot refer to allied health or ATSI health practitioners for benefit purposes</w:t>
            </w:r>
          </w:p>
        </w:tc>
        <w:tc>
          <w:tcPr>
            <w:tcW w:type="dxa" w:w="2700"/>
            <w:tcMar>
              <w:top w:type="dxa" w:w="90"/>
              <w:left w:type="dxa" w:w="110"/>
              <w:bottom w:type="dxa" w:w="90"/>
              <w:right w:type="dxa" w:w="110"/>
            </w:tcMar>
            <w:vAlign w:val="center"/>
          </w:tcPr>
          <w:p>
            <w:pPr>
              <w:jc w:val="left"/>
            </w:pPr>
            <w:r>
              <w:rPr>
                <w:rFonts w:ascii="Calibri" w:cs="Calibri" w:eastAsia="Calibri" w:hAnsi="Calibri"/>
                <w:b w:val="false"/>
                <w:bCs w:val="false"/>
                <w:i w:val="false"/>
                <w:iCs w:val="false"/>
                <w:color w:val="1A1A1A"/>
                <w:sz w:val="19"/>
                <w:szCs w:val="19"/>
              </w:rPr>
              <w:t xml:space="preserve">Can refer/transfer to obstetrician per risk assessment (82100)</w:t>
            </w:r>
          </w:p>
        </w:tc>
      </w:tr>
    </w:tbl>
    <w:p>
      <w:pPr>
        <w:spacing w:after="260"/>
      </w:pPr>
    </w:p>
    <w:p>
      <w:pPr>
        <w:pStyle w:val="Heading2"/>
        <w:spacing w:after="140" w:before="340"/>
      </w:pPr>
      <w:r>
        <w:rPr>
          <w:rFonts w:ascii="Calibri" w:cs="Calibri" w:eastAsia="Calibri" w:hAnsi="Calibri"/>
          <w:b/>
          <w:bCs/>
          <w:color w:val="3F6C8A"/>
          <w:sz w:val="24"/>
          <w:szCs w:val="24"/>
        </w:rPr>
        <w:t xml:space="preserve">4.2 — Key structural constraint: antenatal planning fork</w:t>
      </w:r>
    </w:p>
    <w:p>
      <w:pPr>
        <w:spacing w:after="160" w:line="276"/>
      </w:pPr>
      <w:r>
        <w:rPr>
          <w:rFonts w:ascii="Calibri" w:cs="Calibri" w:eastAsia="Calibri" w:hAnsi="Calibri"/>
          <w:color w:val="1A1A1A"/>
          <w:sz w:val="21"/>
          <w:szCs w:val="21"/>
        </w:rPr>
        <w:t xml:space="preserve">A patient's antenatal MBS pathway is binary at the claim level. Item 82115 (the midwife's maternity care plan) cannot be claimed if 16590 or 16591 (the doctor's antenatal planning items) has already been claimed for that pregnancy, and vice versa in practical effect — except in exceptional circumstances. A service model billing both a doctor and a midwife for antenatal planning across the same pregnancy is not supported by the standard claim rules.</w:t>
      </w:r>
    </w:p>
    <w:p>
      <w:pPr>
        <w:spacing w:after="200"/>
      </w:pPr>
    </w:p>
    <w:p>
      <w:pPr>
        <w:pStyle w:val="Heading2"/>
        <w:spacing w:after="140" w:before="340"/>
      </w:pPr>
      <w:r>
        <w:rPr>
          <w:rFonts w:ascii="Calibri" w:cs="Calibri" w:eastAsia="Calibri" w:hAnsi="Calibri"/>
          <w:b/>
          <w:bCs/>
          <w:color w:val="3F6C8A"/>
          <w:sz w:val="24"/>
          <w:szCs w:val="24"/>
        </w:rPr>
        <w:t xml:space="preserve">4.3 — Postnatal check comparison: 16407 vs 82140</w:t>
      </w:r>
    </w:p>
    <w:p>
      <w:pPr>
        <w:spacing w:after="160" w:line="276"/>
      </w:pPr>
      <w:r>
        <w:rPr>
          <w:rFonts w:ascii="Calibri" w:cs="Calibri" w:eastAsia="Calibri" w:hAnsi="Calibri"/>
          <w:color w:val="1A1A1A"/>
          <w:sz w:val="21"/>
          <w:szCs w:val="21"/>
        </w:rPr>
        <w:t xml:space="preserve">Both items cover the comprehensive postnatal check, but the requirements and delegation rules differ substantially:</w:t>
      </w:r>
    </w:p>
    <w:tbl>
      <w:tblPr>
        <w:tblW w:type="dxa" w:w="9700"/>
        <w:tblBorders>
          <w:top w:val="single" w:color="C7D3D9" w:sz="4"/>
          <w:left w:val="single" w:color="C7D3D9" w:sz="4"/>
          <w:bottom w:val="single" w:color="C7D3D9" w:sz="4"/>
          <w:right w:val="single" w:color="C7D3D9" w:sz="4"/>
          <w:insideH w:val="single" w:color="C7D3D9" w:sz="4"/>
          <w:insideV w:val="single" w:color="C7D3D9" w:sz="4"/>
        </w:tblBorders>
      </w:tblPr>
      <w:tblGrid>
        <w:gridCol w:w="2500"/>
        <w:gridCol w:w="3600"/>
        <w:gridCol w:w="3600"/>
      </w:tblGrid>
      <w:tr>
        <w:trPr>
          <w:tblHeader/>
        </w:trPr>
        <w:tc>
          <w:tcPr>
            <w:tcW w:type="dxa" w:w="2500"/>
            <w:shd w:fill="1F3A52" w:color="auto" w:val="clear"/>
            <w:tcMar>
              <w:top w:type="dxa" w:w="90"/>
              <w:left w:type="dxa" w:w="110"/>
              <w:bottom w:type="dxa" w:w="90"/>
              <w:right w:type="dxa" w:w="110"/>
            </w:tcMar>
            <w:vAlign w:val="center"/>
          </w:tcPr>
          <w:p>
            <w:pPr>
              <w:jc w:val="left"/>
            </w:pPr>
            <w:r>
              <w:rPr>
                <w:rFonts w:ascii="Calibri" w:cs="Calibri" w:eastAsia="Calibri" w:hAnsi="Calibri"/>
                <w:b/>
                <w:bCs/>
                <w:i w:val="false"/>
                <w:iCs w:val="false"/>
                <w:color w:val="FFFFFF"/>
                <w:sz w:val="19"/>
                <w:szCs w:val="19"/>
              </w:rPr>
              <w:t xml:space="preserve"/>
            </w:r>
          </w:p>
        </w:tc>
        <w:tc>
          <w:tcPr>
            <w:tcW w:type="dxa" w:w="3600"/>
            <w:shd w:fill="1F3A52" w:color="auto" w:val="clear"/>
            <w:tcMar>
              <w:top w:type="dxa" w:w="90"/>
              <w:left w:type="dxa" w:w="110"/>
              <w:bottom w:type="dxa" w:w="90"/>
              <w:right w:type="dxa" w:w="110"/>
            </w:tcMar>
            <w:vAlign w:val="center"/>
          </w:tcPr>
          <w:p>
            <w:pPr>
              <w:jc w:val="left"/>
            </w:pPr>
            <w:r>
              <w:rPr>
                <w:rFonts w:ascii="Calibri" w:cs="Calibri" w:eastAsia="Calibri" w:hAnsi="Calibri"/>
                <w:b/>
                <w:bCs/>
                <w:i w:val="false"/>
                <w:iCs w:val="false"/>
                <w:color w:val="FFFFFF"/>
                <w:sz w:val="19"/>
                <w:szCs w:val="19"/>
              </w:rPr>
              <w:t xml:space="preserve">16407 (doctor)</w:t>
            </w:r>
          </w:p>
        </w:tc>
        <w:tc>
          <w:tcPr>
            <w:tcW w:type="dxa" w:w="3600"/>
            <w:shd w:fill="1F3A52" w:color="auto" w:val="clear"/>
            <w:tcMar>
              <w:top w:type="dxa" w:w="90"/>
              <w:left w:type="dxa" w:w="110"/>
              <w:bottom w:type="dxa" w:w="90"/>
              <w:right w:type="dxa" w:w="110"/>
            </w:tcMar>
            <w:vAlign w:val="center"/>
          </w:tcPr>
          <w:p>
            <w:pPr>
              <w:jc w:val="left"/>
            </w:pPr>
            <w:r>
              <w:rPr>
                <w:rFonts w:ascii="Calibri" w:cs="Calibri" w:eastAsia="Calibri" w:hAnsi="Calibri"/>
                <w:b/>
                <w:bCs/>
                <w:i w:val="false"/>
                <w:iCs w:val="false"/>
                <w:color w:val="FFFFFF"/>
                <w:sz w:val="19"/>
                <w:szCs w:val="19"/>
              </w:rPr>
              <w:t xml:space="preserve">82140 (midwife)</w:t>
            </w:r>
          </w:p>
        </w:tc>
      </w:tr>
      <w:tr>
        <w:tc>
          <w:tcPr>
            <w:tcW w:type="dxa" w:w="2500"/>
            <w:shd w:fill="EAF1F5" w:color="auto" w:val="clear"/>
            <w:tcMar>
              <w:top w:type="dxa" w:w="90"/>
              <w:left w:type="dxa" w:w="110"/>
              <w:bottom w:type="dxa" w:w="90"/>
              <w:right w:type="dxa" w:w="110"/>
            </w:tcMar>
            <w:vAlign w:val="center"/>
          </w:tcPr>
          <w:p>
            <w:pPr>
              <w:jc w:val="left"/>
            </w:pPr>
            <w:r>
              <w:rPr>
                <w:rFonts w:ascii="Calibri" w:cs="Calibri" w:eastAsia="Calibri" w:hAnsi="Calibri"/>
                <w:b w:val="false"/>
                <w:bCs w:val="false"/>
                <w:i w:val="false"/>
                <w:iCs w:val="false"/>
                <w:color w:val="1A1A1A"/>
                <w:sz w:val="19"/>
                <w:szCs w:val="19"/>
              </w:rPr>
              <w:t xml:space="preserve">Fee</w:t>
            </w:r>
          </w:p>
        </w:tc>
        <w:tc>
          <w:tcPr>
            <w:tcW w:type="dxa" w:w="3600"/>
            <w:shd w:fill="EAF1F5" w:color="auto" w:val="clear"/>
            <w:tcMar>
              <w:top w:type="dxa" w:w="90"/>
              <w:left w:type="dxa" w:w="110"/>
              <w:bottom w:type="dxa" w:w="90"/>
              <w:right w:type="dxa" w:w="110"/>
            </w:tcMar>
            <w:vAlign w:val="center"/>
          </w:tcPr>
          <w:p>
            <w:pPr>
              <w:jc w:val="left"/>
            </w:pPr>
            <w:r>
              <w:rPr>
                <w:rFonts w:ascii="Calibri" w:cs="Calibri" w:eastAsia="Calibri" w:hAnsi="Calibri"/>
                <w:b w:val="false"/>
                <w:bCs w:val="false"/>
                <w:i w:val="false"/>
                <w:iCs w:val="false"/>
                <w:color w:val="1A1A1A"/>
                <w:sz w:val="19"/>
                <w:szCs w:val="19"/>
              </w:rPr>
              <w:t xml:space="preserve">$85.80</w:t>
            </w:r>
          </w:p>
        </w:tc>
        <w:tc>
          <w:tcPr>
            <w:tcW w:type="dxa" w:w="3600"/>
            <w:shd w:fill="EAF1F5" w:color="auto" w:val="clear"/>
            <w:tcMar>
              <w:top w:type="dxa" w:w="90"/>
              <w:left w:type="dxa" w:w="110"/>
              <w:bottom w:type="dxa" w:w="90"/>
              <w:right w:type="dxa" w:w="110"/>
            </w:tcMar>
            <w:vAlign w:val="center"/>
          </w:tcPr>
          <w:p>
            <w:pPr>
              <w:jc w:val="left"/>
            </w:pPr>
            <w:r>
              <w:rPr>
                <w:rFonts w:ascii="Calibri" w:cs="Calibri" w:eastAsia="Calibri" w:hAnsi="Calibri"/>
                <w:b w:val="false"/>
                <w:bCs w:val="false"/>
                <w:i w:val="false"/>
                <w:iCs w:val="false"/>
                <w:color w:val="1A1A1A"/>
                <w:sz w:val="19"/>
                <w:szCs w:val="19"/>
              </w:rPr>
              <w:t xml:space="preserve">$63.90</w:t>
            </w:r>
          </w:p>
        </w:tc>
      </w:tr>
      <w:tr>
        <w:tc>
          <w:tcPr>
            <w:tcW w:type="dxa" w:w="2500"/>
            <w:tcMar>
              <w:top w:type="dxa" w:w="90"/>
              <w:left w:type="dxa" w:w="110"/>
              <w:bottom w:type="dxa" w:w="90"/>
              <w:right w:type="dxa" w:w="110"/>
            </w:tcMar>
            <w:vAlign w:val="center"/>
          </w:tcPr>
          <w:p>
            <w:pPr>
              <w:jc w:val="left"/>
            </w:pPr>
            <w:r>
              <w:rPr>
                <w:rFonts w:ascii="Calibri" w:cs="Calibri" w:eastAsia="Calibri" w:hAnsi="Calibri"/>
                <w:b w:val="false"/>
                <w:bCs w:val="false"/>
                <w:i w:val="false"/>
                <w:iCs w:val="false"/>
                <w:color w:val="1A1A1A"/>
                <w:sz w:val="19"/>
                <w:szCs w:val="19"/>
              </w:rPr>
              <w:t xml:space="preserve">Minimum duration</w:t>
            </w:r>
          </w:p>
        </w:tc>
        <w:tc>
          <w:tcPr>
            <w:tcW w:type="dxa" w:w="3600"/>
            <w:tcMar>
              <w:top w:type="dxa" w:w="90"/>
              <w:left w:type="dxa" w:w="110"/>
              <w:bottom w:type="dxa" w:w="90"/>
              <w:right w:type="dxa" w:w="110"/>
            </w:tcMar>
            <w:vAlign w:val="center"/>
          </w:tcPr>
          <w:p>
            <w:pPr>
              <w:jc w:val="left"/>
            </w:pPr>
            <w:r>
              <w:rPr>
                <w:rFonts w:ascii="Calibri" w:cs="Calibri" w:eastAsia="Calibri" w:hAnsi="Calibri"/>
                <w:b w:val="false"/>
                <w:bCs w:val="false"/>
                <w:i w:val="false"/>
                <w:iCs w:val="false"/>
                <w:color w:val="1A1A1A"/>
                <w:sz w:val="19"/>
                <w:szCs w:val="19"/>
              </w:rPr>
              <w:t xml:space="preserve">≥20min</w:t>
            </w:r>
          </w:p>
        </w:tc>
        <w:tc>
          <w:tcPr>
            <w:tcW w:type="dxa" w:w="3600"/>
            <w:tcMar>
              <w:top w:type="dxa" w:w="90"/>
              <w:left w:type="dxa" w:w="110"/>
              <w:bottom w:type="dxa" w:w="90"/>
              <w:right w:type="dxa" w:w="110"/>
            </w:tcMar>
            <w:vAlign w:val="center"/>
          </w:tcPr>
          <w:p>
            <w:pPr>
              <w:jc w:val="left"/>
            </w:pPr>
            <w:r>
              <w:rPr>
                <w:rFonts w:ascii="Calibri" w:cs="Calibri" w:eastAsia="Calibri" w:hAnsi="Calibri"/>
                <w:b w:val="false"/>
                <w:bCs w:val="false"/>
                <w:i w:val="false"/>
                <w:iCs w:val="false"/>
                <w:color w:val="1A1A1A"/>
                <w:sz w:val="19"/>
                <w:szCs w:val="19"/>
              </w:rPr>
              <w:t xml:space="preserve">≥60min</w:t>
            </w:r>
          </w:p>
        </w:tc>
      </w:tr>
      <w:tr>
        <w:tc>
          <w:tcPr>
            <w:tcW w:type="dxa" w:w="2500"/>
            <w:shd w:fill="EAF1F5" w:color="auto" w:val="clear"/>
            <w:tcMar>
              <w:top w:type="dxa" w:w="90"/>
              <w:left w:type="dxa" w:w="110"/>
              <w:bottom w:type="dxa" w:w="90"/>
              <w:right w:type="dxa" w:w="110"/>
            </w:tcMar>
            <w:vAlign w:val="center"/>
          </w:tcPr>
          <w:p>
            <w:pPr>
              <w:jc w:val="left"/>
            </w:pPr>
            <w:r>
              <w:rPr>
                <w:rFonts w:ascii="Calibri" w:cs="Calibri" w:eastAsia="Calibri" w:hAnsi="Calibri"/>
                <w:b w:val="false"/>
                <w:bCs w:val="false"/>
                <w:i w:val="false"/>
                <w:iCs w:val="false"/>
                <w:color w:val="1A1A1A"/>
                <w:sz w:val="19"/>
                <w:szCs w:val="19"/>
              </w:rPr>
              <w:t xml:space="preserve">Required content</w:t>
            </w:r>
          </w:p>
        </w:tc>
        <w:tc>
          <w:tcPr>
            <w:tcW w:type="dxa" w:w="3600"/>
            <w:shd w:fill="EAF1F5" w:color="auto" w:val="clear"/>
            <w:tcMar>
              <w:top w:type="dxa" w:w="90"/>
              <w:left w:type="dxa" w:w="110"/>
              <w:bottom w:type="dxa" w:w="90"/>
              <w:right w:type="dxa" w:w="110"/>
            </w:tcMar>
            <w:vAlign w:val="center"/>
          </w:tcPr>
          <w:p>
            <w:pPr>
              <w:jc w:val="left"/>
            </w:pPr>
            <w:r>
              <w:rPr>
                <w:rFonts w:ascii="Calibri" w:cs="Calibri" w:eastAsia="Calibri" w:hAnsi="Calibri"/>
                <w:b w:val="false"/>
                <w:bCs w:val="false"/>
                <w:i w:val="false"/>
                <w:iCs w:val="false"/>
                <w:color w:val="1A1A1A"/>
                <w:sz w:val="19"/>
                <w:szCs w:val="19"/>
              </w:rPr>
              <w:t xml:space="preserve">Mental health assessment (incl. drug/alcohol, domestic violence screening)</w:t>
            </w:r>
          </w:p>
        </w:tc>
        <w:tc>
          <w:tcPr>
            <w:tcW w:type="dxa" w:w="3600"/>
            <w:shd w:fill="EAF1F5" w:color="auto" w:val="clear"/>
            <w:tcMar>
              <w:top w:type="dxa" w:w="90"/>
              <w:left w:type="dxa" w:w="110"/>
              <w:bottom w:type="dxa" w:w="90"/>
              <w:right w:type="dxa" w:w="110"/>
            </w:tcMar>
            <w:vAlign w:val="center"/>
          </w:tcPr>
          <w:p>
            <w:pPr>
              <w:jc w:val="left"/>
            </w:pPr>
            <w:r>
              <w:rPr>
                <w:rFonts w:ascii="Calibri" w:cs="Calibri" w:eastAsia="Calibri" w:hAnsi="Calibri"/>
                <w:b w:val="false"/>
                <w:bCs w:val="false"/>
                <w:i w:val="false"/>
                <w:iCs w:val="false"/>
                <w:color w:val="1A1A1A"/>
                <w:sz w:val="19"/>
                <w:szCs w:val="19"/>
              </w:rPr>
              <w:t xml:space="preserve">Full exam of patient and baby; labour/birth debrief; mental health assessment; referral to a primary carer — each of the last two documented if declined</w:t>
            </w:r>
          </w:p>
        </w:tc>
      </w:tr>
      <w:tr>
        <w:tc>
          <w:tcPr>
            <w:tcW w:type="dxa" w:w="2500"/>
            <w:tcMar>
              <w:top w:type="dxa" w:w="90"/>
              <w:left w:type="dxa" w:w="110"/>
              <w:bottom w:type="dxa" w:w="90"/>
              <w:right w:type="dxa" w:w="110"/>
            </w:tcMar>
            <w:vAlign w:val="center"/>
          </w:tcPr>
          <w:p>
            <w:pPr>
              <w:jc w:val="left"/>
            </w:pPr>
            <w:r>
              <w:rPr>
                <w:rFonts w:ascii="Calibri" w:cs="Calibri" w:eastAsia="Calibri" w:hAnsi="Calibri"/>
                <w:b w:val="false"/>
                <w:bCs w:val="false"/>
                <w:i w:val="false"/>
                <w:iCs w:val="false"/>
                <w:color w:val="1A1A1A"/>
                <w:sz w:val="19"/>
                <w:szCs w:val="19"/>
              </w:rPr>
              <w:t xml:space="preserve">Delegable?</w:t>
            </w:r>
          </w:p>
        </w:tc>
        <w:tc>
          <w:tcPr>
            <w:tcW w:type="dxa" w:w="3600"/>
            <w:tcMar>
              <w:top w:type="dxa" w:w="90"/>
              <w:left w:type="dxa" w:w="110"/>
              <w:bottom w:type="dxa" w:w="90"/>
              <w:right w:type="dxa" w:w="110"/>
            </w:tcMar>
            <w:vAlign w:val="center"/>
          </w:tcPr>
          <w:p>
            <w:pPr>
              <w:jc w:val="left"/>
            </w:pPr>
            <w:r>
              <w:rPr>
                <w:rFonts w:ascii="Calibri" w:cs="Calibri" w:eastAsia="Calibri" w:hAnsi="Calibri"/>
                <w:b w:val="false"/>
                <w:bCs w:val="false"/>
                <w:i w:val="false"/>
                <w:iCs w:val="false"/>
                <w:color w:val="1A1A1A"/>
                <w:sz w:val="19"/>
                <w:szCs w:val="19"/>
              </w:rPr>
              <w:t xml:space="preserve">Yes — assessment may be performed by another suitably qualified health professional on the doctor's behalf</w:t>
            </w:r>
          </w:p>
        </w:tc>
        <w:tc>
          <w:tcPr>
            <w:tcW w:type="dxa" w:w="3600"/>
            <w:tcMar>
              <w:top w:type="dxa" w:w="90"/>
              <w:left w:type="dxa" w:w="110"/>
              <w:bottom w:type="dxa" w:w="90"/>
              <w:right w:type="dxa" w:w="110"/>
            </w:tcMar>
            <w:vAlign w:val="center"/>
          </w:tcPr>
          <w:p>
            <w:pPr>
              <w:jc w:val="left"/>
            </w:pPr>
            <w:r>
              <w:rPr>
                <w:rFonts w:ascii="Calibri" w:cs="Calibri" w:eastAsia="Calibri" w:hAnsi="Calibri"/>
                <w:b w:val="false"/>
                <w:bCs w:val="false"/>
                <w:i w:val="false"/>
                <w:iCs w:val="false"/>
                <w:color w:val="1A1A1A"/>
                <w:sz w:val="19"/>
                <w:szCs w:val="19"/>
              </w:rPr>
              <w:t xml:space="preserve">No — must be personally performed by the participating midwife</w:t>
            </w:r>
          </w:p>
        </w:tc>
      </w:tr>
    </w:tbl>
    <w:p>
      <w:pPr>
        <w:spacing w:after="200"/>
      </w:pPr>
    </w:p>
    <w:p>
      <w:pPr>
        <w:spacing w:after="160" w:line="276"/>
      </w:pPr>
      <w:r>
        <w:rPr>
          <w:rFonts w:ascii="Calibri" w:cs="Calibri" w:eastAsia="Calibri" w:hAnsi="Calibri"/>
          <w:color w:val="1A1A1A"/>
          <w:sz w:val="21"/>
          <w:szCs w:val="21"/>
        </w:rPr>
        <w:t xml:space="preserve">The midwife item requires more clinical content — a baby exam, birth debrief, and forward referral, in addition to the mental health assessment — over three times the minimum duration, for a lower fee, and without the delegation option available to the doctor's item.</w:t>
      </w:r>
    </w:p>
    <w:p>
      <w:pPr>
        <w:spacing w:after="300"/>
      </w:pPr>
    </w:p>
    <w:p>
      <w:pPr>
        <w:pBdr>
          <w:top w:val="single" w:color="C7D3D9" w:sz="4" w:space="8"/>
        </w:pBdr>
        <w:spacing w:before="200"/>
      </w:pPr>
      <w:r>
        <w:rPr>
          <w:rFonts w:ascii="Calibri" w:cs="Calibri" w:eastAsia="Calibri" w:hAnsi="Calibri"/>
          <w:i/>
          <w:iCs/>
          <w:color w:val="5B6770"/>
          <w:sz w:val="17"/>
          <w:szCs w:val="17"/>
        </w:rPr>
        <w:t xml:space="preserve">Source: Medicare Benefits Schedule, Department of Health and Aged Care (www9.health.gov.au/mbs). All fees are Schedule Fees as at the 01 Jul 2026 update; benefit percentages shown are 75% and/or 85% as published per item. This document is a compiled reference and is not a substitute for direct verification against MBS Online at time of billing.</w:t>
      </w:r>
    </w:p>
    <w:sectPr>
      <w:headerReference w:type="default" r:id="rId7"/>
      <w:footerReference w:type="default" r:id="rId8"/>
      <w:pgSz w:w="11906" w:h="16838"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B6770"/>
        <w:sz w:val="16"/>
        <w:szCs w:val="16"/>
      </w:rPr>
      <w:t xml:space="preserve">Page </w:t>
    </w:r>
    <w:r>
      <w:rPr>
        <w:rFonts w:ascii="Calibri" w:cs="Calibri" w:eastAsia="Calibri" w:hAnsi="Calibri"/>
        <w:color w:val="5B6770"/>
        <w:sz w:val="16"/>
        <w:szCs w:val="16"/>
      </w:rPr>
      <w:fldChar w:fldCharType="begin"/>
      <w:instrText xml:space="preserve">PAGE</w:instrText>
      <w:fldChar w:fldCharType="separate"/>
      <w:fldChar w:fldCharType="end"/>
    </w:r>
    <w:r>
      <w:rPr>
        <w:rFonts w:ascii="Calibri" w:cs="Calibri" w:eastAsia="Calibri" w:hAnsi="Calibri"/>
        <w:color w:val="5B6770"/>
        <w:sz w:val="16"/>
        <w:szCs w:val="16"/>
      </w:rPr>
      <w:t xml:space="preserve"> of </w:t>
    </w:r>
    <w:r>
      <w:rPr>
        <w:rFonts w:ascii="Calibri" w:cs="Calibri" w:eastAsia="Calibri" w:hAnsi="Calibri"/>
        <w:color w:val="5B677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7E3EA" w:sz="4" w:space="4"/>
      </w:pBdr>
      <w:jc w:val="right"/>
    </w:pPr>
    <w:r>
      <w:rPr>
        <w:rFonts w:ascii="Calibri" w:cs="Calibri" w:eastAsia="Calibri" w:hAnsi="Calibri"/>
        <w:color w:val="5B6770"/>
        <w:sz w:val="16"/>
        <w:szCs w:val="16"/>
      </w:rPr>
      <w:t xml:space="preserve">MBS Reference — Maternity &amp; Nurse Practitioner Items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2026-09-03T13:48:46.969Z</dcterms:created>
  <dcterms:modified xsi:type="dcterms:W3CDTF">2026-09-03T13:48:46.969Z</dcterms:modified>
</cp:coreProperties>
</file>

<file path=docProps/custom.xml><?xml version="1.0" encoding="utf-8"?>
<Properties xmlns="http://schemas.openxmlformats.org/officeDocument/2006/custom-properties" xmlns:vt="http://schemas.openxmlformats.org/officeDocument/2006/docPropsVTypes"/>
</file>