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1F1D"/>
          <w:sz w:val="38"/>
          <w:szCs w:val="38"/>
        </w:rPr>
        <w:t xml:space="preserve">Kindred Care — ACU weekly</w:t>
      </w:r>
    </w:p>
    <w:p>
      <w:pPr>
        <w:spacing w:after="60"/>
      </w:pPr>
      <w:r>
        <w:rPr>
          <w:color w:val="0F6E63"/>
          <w:sz w:val="21"/>
          <w:szCs w:val="21"/>
        </w:rPr>
        <w:t xml:space="preserve">Project Oversight Team 9:30–10:00  ·  Workshop 1.2.B 10:00–10:30</w:t>
      </w:r>
    </w:p>
    <w:p>
      <w:r>
        <w:rPr>
          <w:color w:val="5A6B66"/>
          <w:sz w:val="18"/>
          <w:szCs w:val="18"/>
        </w:rPr>
        <w:t xml:space="preserve">Brad · Russell Carrington · Bill Russell · Lois McKellar  ·  Microsoft Teams</w:t>
      </w:r>
    </w:p>
    <w:p>
      <w:pPr>
        <w:pBdr>
          <w:bottom w:val="single" w:color="C6D3CF" w:sz="6"/>
        </w:pBdr>
        <w:spacing w:after="170" w:before="60"/>
      </w:pPr>
    </w:p>
    <w:p>
      <w:pPr>
        <w:spacing w:after="200"/>
      </w:pPr>
      <w:r>
        <w:rPr>
          <w:b/>
          <w:bCs/>
          <w:color w:val="141F1D"/>
          <w:sz w:val="20"/>
          <w:szCs w:val="20"/>
        </w:rPr>
        <w:t xml:space="preserve">If only three things land: </w:t>
      </w:r>
      <w:r>
        <w:rPr>
          <w:color w:val="141F1D"/>
          <w:sz w:val="20"/>
          <w:szCs w:val="20"/>
        </w:rPr>
        <w:t xml:space="preserve">dated positions on the two 61-day blockers, and Lois starting the ethics pathway.</w:t>
      </w:r>
    </w:p>
    <w:p>
      <w:pPr>
        <w:spacing w:after="20" w:before="340"/>
      </w:pPr>
      <w:r>
        <w:rPr>
          <w:b/>
          <w:bCs/>
          <w:color w:val="141F1D"/>
          <w:sz w:val="26"/>
          <w:szCs w:val="26"/>
        </w:rPr>
        <w:t xml:space="preserve">Weekly</w:t>
      </w:r>
    </w:p>
    <w:p>
      <w:pPr>
        <w:spacing w:after="110"/>
      </w:pPr>
      <w:r>
        <w:rPr>
          <w:color w:val="0F6E63"/>
          <w:sz w:val="18"/>
          <w:szCs w:val="18"/>
        </w:rPr>
        <w:t xml:space="preserve">9:30 – 10:00</w:t>
      </w:r>
    </w:p>
    <w:p>
      <w:pPr>
        <w:spacing w:after="90" w:before="250"/>
      </w:pPr>
      <w:r>
        <w:rPr>
          <w:b/>
          <w:bCs/>
          <w:color w:val="0F6E63"/>
          <w:sz w:val="23"/>
          <w:szCs w:val="23"/>
        </w:rPr>
        <w:t xml:space="preserve">1.  </w:t>
      </w:r>
      <w:r>
        <w:rPr>
          <w:b/>
          <w:bCs/>
          <w:color w:val="141F1D"/>
          <w:sz w:val="23"/>
          <w:szCs w:val="23"/>
        </w:rPr>
        <w:t xml:space="preserve">Housekeeping</w:t>
      </w:r>
      <w:r>
        <w:rPr>
          <w:color w:val="5A6B66"/>
          <w:sz w:val="17"/>
          <w:szCs w:val="17"/>
        </w:rPr>
        <w:t xml:space="preserve">   2 min</w:t>
      </w:r>
    </w:p>
    <w:p>
      <w:pPr>
        <w:spacing w:after="85"/>
        <w:ind w:left="431"/>
      </w:pPr>
      <w:r>
        <w:rPr>
          <w:b w:val="false"/>
          <w:bCs w:val="false"/>
          <w:i w:val="false"/>
          <w:iCs w:val="false"/>
          <w:color w:val="141F1D"/>
          <w:sz w:val="20"/>
          <w:szCs w:val="20"/>
        </w:rPr>
        <w:t xml:space="preserve">Russell is on leave Thu 3, Fri 4 and Mon 7 September — which covers his own 1.2.R&amp;D workshop tomorrow.</w:t>
      </w:r>
    </w:p>
    <w:p>
      <w:pPr>
        <w:spacing w:after="85"/>
        <w:ind w:left="431"/>
      </w:pPr>
      <w:r>
        <w:rPr>
          <w:b/>
          <w:bCs/>
          <w:i w:val="false"/>
          <w:iCs w:val="false"/>
          <w:color w:val="A6342B"/>
          <w:sz w:val="20"/>
          <w:szCs w:val="20"/>
        </w:rPr>
        <w:t xml:space="preserve">Does it move, or does someone else run it? Settle it here, not by email.</w:t>
      </w:r>
    </w:p>
    <w:p>
      <w:pPr>
        <w:spacing w:after="90" w:before="250"/>
      </w:pPr>
      <w:r>
        <w:rPr>
          <w:b/>
          <w:bCs/>
          <w:color w:val="0F6E63"/>
          <w:sz w:val="23"/>
          <w:szCs w:val="23"/>
        </w:rPr>
        <w:t xml:space="preserve">2.  </w:t>
      </w:r>
      <w:r>
        <w:rPr>
          <w:b/>
          <w:bCs/>
          <w:color w:val="141F1D"/>
          <w:sz w:val="23"/>
          <w:szCs w:val="23"/>
        </w:rPr>
        <w:t xml:space="preserve">Since last week</w:t>
      </w:r>
      <w:r>
        <w:rPr>
          <w:color w:val="5A6B66"/>
          <w:sz w:val="17"/>
          <w:szCs w:val="17"/>
        </w:rPr>
        <w:t xml:space="preserve">   5 min — report, don't dwell</w:t>
      </w:r>
    </w:p>
    <w:p>
      <w:pPr>
        <w:spacing w:after="85"/>
        <w:ind w:left="431"/>
      </w:pPr>
      <w:r>
        <w:rPr>
          <w:b w:val="false"/>
          <w:bCs w:val="false"/>
          <w:i w:val="false"/>
          <w:iCs w:val="false"/>
          <w:color w:val="5A6B66"/>
          <w:sz w:val="20"/>
          <w:szCs w:val="20"/>
        </w:rPr>
        <w:t xml:space="preserve">Four dormant relationships revived, all with ACU visible:</w:t>
      </w:r>
    </w:p>
    <w:p>
      <w:pPr>
        <w:pStyle w:val="ListParagraph"/>
        <w:numPr>
          <w:ilvl w:val="0"/>
          <w:numId w:val="2"/>
        </w:numPr>
        <w:spacing w:after="65"/>
      </w:pPr>
      <w:r>
        <w:rPr>
          <w:b w:val="false"/>
          <w:bCs w:val="false"/>
          <w:color w:val="141F1D"/>
          <w:sz w:val="20"/>
          <w:szCs w:val="20"/>
        </w:rPr>
        <w:t xml:space="preserve">SCHHS Maternity — invitation to present to Maternity Leadership accepted; Jo coordinating a date. Grant failure disclosed up front.</w:t>
      </w:r>
    </w:p>
    <w:p>
      <w:pPr>
        <w:pStyle w:val="ListParagraph"/>
        <w:numPr>
          <w:ilvl w:val="0"/>
          <w:numId w:val="2"/>
        </w:numPr>
        <w:spacing w:after="65"/>
      </w:pPr>
      <w:r>
        <w:rPr>
          <w:b w:val="false"/>
          <w:bCs w:val="false"/>
          <w:color w:val="141F1D"/>
          <w:sz w:val="20"/>
          <w:szCs w:val="20"/>
        </w:rPr>
        <w:t xml:space="preserve">Wishlist — Brendan Hogan phoned; meeting confirmed 2pm next week at Birtinya. This is the pilot's funding leg.</w:t>
      </w:r>
    </w:p>
    <w:p>
      <w:pPr>
        <w:pStyle w:val="ListParagraph"/>
        <w:numPr>
          <w:ilvl w:val="0"/>
          <w:numId w:val="2"/>
        </w:numPr>
        <w:spacing w:after="65"/>
      </w:pPr>
      <w:r>
        <w:rPr>
          <w:b w:val="false"/>
          <w:bCs w:val="false"/>
          <w:color w:val="141F1D"/>
          <w:sz w:val="20"/>
          <w:szCs w:val="20"/>
        </w:rPr>
        <w:t xml:space="preserve">Victoria — Fiona contacted; raising it with Jenny Dempster (Gippsland Southern) directly. First Victorian movement in four months.</w:t>
      </w:r>
    </w:p>
    <w:p>
      <w:pPr>
        <w:pStyle w:val="ListParagraph"/>
        <w:numPr>
          <w:ilvl w:val="0"/>
          <w:numId w:val="2"/>
        </w:numPr>
        <w:spacing w:after="65"/>
      </w:pPr>
      <w:r>
        <w:rPr>
          <w:b w:val="false"/>
          <w:bCs w:val="false"/>
          <w:color w:val="141F1D"/>
          <w:sz w:val="20"/>
          <w:szCs w:val="20"/>
        </w:rPr>
        <w:t xml:space="preserve">Sequence set: Wishlist → SCHHS maternity → combine if interest holds on both sides.</w:t>
      </w:r>
    </w:p>
    <w:p>
      <w:pPr>
        <w:spacing w:after="85"/>
        <w:ind w:left="431"/>
      </w:pPr>
      <w:r>
        <w:rPr>
          <w:b w:val="false"/>
          <w:bCs w:val="false"/>
          <w:i w:val="false"/>
          <w:iCs w:val="false"/>
          <w:color w:val="5A6B66"/>
          <w:sz w:val="20"/>
          <w:szCs w:val="20"/>
        </w:rPr>
        <w:t xml:space="preserve">Also: unit cost resolved, COI register stood up, Ged's introductions formally declared.</w:t>
      </w:r>
    </w:p>
    <w:p>
      <w:pPr>
        <w:spacing w:after="90" w:before="250"/>
      </w:pPr>
      <w:r>
        <w:rPr>
          <w:b/>
          <w:bCs/>
          <w:color w:val="0F6E63"/>
          <w:sz w:val="23"/>
          <w:szCs w:val="23"/>
        </w:rPr>
        <w:t xml:space="preserve">3.  </w:t>
      </w:r>
      <w:r>
        <w:rPr>
          <w:b/>
          <w:bCs/>
          <w:color w:val="141F1D"/>
          <w:sz w:val="23"/>
          <w:szCs w:val="23"/>
        </w:rPr>
        <w:t xml:space="preserve">The two blockers</w:t>
      </w:r>
      <w:r>
        <w:rPr>
          <w:color w:val="5A6B66"/>
          <w:sz w:val="17"/>
          <w:szCs w:val="17"/>
        </w:rPr>
        <w:t xml:space="preserve">   10 min — this is the meeting's job</w:t>
      </w:r>
    </w:p>
    <w:p>
      <w:pPr>
        <w:spacing w:after="85"/>
        <w:ind w:left="431"/>
      </w:pPr>
      <w:r>
        <w:rPr>
          <w:b/>
          <w:bCs/>
          <w:i w:val="false"/>
          <w:iCs w:val="false"/>
          <w:color w:val="141F1D"/>
          <w:sz w:val="20"/>
          <w:szCs w:val="20"/>
        </w:rPr>
        <w:t xml:space="preserve">Both 61 days open. Both ACU-side. Both gate UCAC on 16 October.</w:t>
      </w:r>
    </w:p>
    <w:p>
      <w:pPr>
        <w:pStyle w:val="ListParagraph"/>
        <w:numPr>
          <w:ilvl w:val="0"/>
          <w:numId w:val="2"/>
        </w:numPr>
        <w:spacing w:after="65"/>
      </w:pPr>
      <w:r>
        <w:rPr>
          <w:b w:val="false"/>
          <w:bCs w:val="false"/>
          <w:color w:val="141F1D"/>
          <w:sz w:val="20"/>
          <w:szCs w:val="20"/>
        </w:rPr>
        <w:t xml:space="preserve">ACU's $650,000 — no identified source</w:t>
      </w:r>
    </w:p>
    <w:p>
      <w:pPr>
        <w:pStyle w:val="ListParagraph"/>
        <w:numPr>
          <w:ilvl w:val="0"/>
          <w:numId w:val="2"/>
        </w:numPr>
        <w:spacing w:after="65"/>
      </w:pPr>
      <w:r>
        <w:rPr>
          <w:b w:val="false"/>
          <w:bCs w:val="false"/>
          <w:color w:val="141F1D"/>
          <w:sz w:val="20"/>
          <w:szCs w:val="20"/>
        </w:rPr>
        <w:t xml:space="preserve">Heads of Agreement and IP audit — we are holding all ownership language until ACU's draft lands</w:t>
      </w:r>
    </w:p>
    <w:p>
      <w:pPr>
        <w:spacing w:after="85"/>
        <w:ind w:left="431"/>
      </w:pPr>
      <w:r>
        <w:rPr>
          <w:b/>
          <w:bCs/>
          <w:i w:val="false"/>
          <w:iCs w:val="false"/>
          <w:color w:val="141F1D"/>
          <w:sz w:val="20"/>
          <w:szCs w:val="20"/>
        </w:rPr>
        <w:t xml:space="preserve">Ask for dated positions, not status. “When will we know?” rather than “Where is it up to?” If a date cannot be given, that is itself the answer and we plan around it.</w:t>
      </w:r>
    </w:p>
    <w:p>
      <w:pPr>
        <w:spacing w:after="90" w:before="250"/>
      </w:pPr>
      <w:r>
        <w:rPr>
          <w:b/>
          <w:bCs/>
          <w:color w:val="0F6E63"/>
          <w:sz w:val="23"/>
          <w:szCs w:val="23"/>
        </w:rPr>
        <w:t xml:space="preserve">4.  </w:t>
      </w:r>
      <w:r>
        <w:rPr>
          <w:b/>
          <w:bCs/>
          <w:color w:val="141F1D"/>
          <w:sz w:val="23"/>
          <w:szCs w:val="23"/>
        </w:rPr>
        <w:t xml:space="preserve">Lois — three asks</w:t>
      </w:r>
      <w:r>
        <w:rPr>
          <w:color w:val="5A6B66"/>
          <w:sz w:val="17"/>
          <w:szCs w:val="17"/>
        </w:rPr>
        <w:t xml:space="preserve">   8 min</w:t>
      </w:r>
    </w:p>
    <w:p>
      <w:pPr>
        <w:spacing w:after="85"/>
        <w:ind w:left="431"/>
      </w:pPr>
      <w:r>
        <w:rPr>
          <w:b/>
          <w:bCs/>
          <w:i w:val="false"/>
          <w:iCs w:val="false"/>
          <w:color w:val="141F1D"/>
          <w:sz w:val="20"/>
          <w:szCs w:val="20"/>
        </w:rPr>
        <w:t xml:space="preserve">Ethics pathway for a 150-mother pilot — route and realistic duration. The one item between here and evidence that cannot be compressed. Start it this week.</w:t>
      </w:r>
    </w:p>
    <w:p>
      <w:pPr>
        <w:spacing w:after="85"/>
        <w:ind w:left="431"/>
      </w:pPr>
      <w:r>
        <w:rPr>
          <w:b w:val="false"/>
          <w:bCs w:val="false"/>
          <w:i w:val="false"/>
          <w:iCs w:val="false"/>
          <w:color w:val="141F1D"/>
          <w:sz w:val="20"/>
          <w:szCs w:val="20"/>
        </w:rPr>
        <w:t xml:space="preserve">ACM. The relationship is warm — Kelley Lennon (their Chief Midwife) and Gabby Earls met me in April and offered an advisory board and short courses. It has gone stale on our side. I'd like to route the re-approach through you.</w:t>
      </w:r>
    </w:p>
    <w:p>
      <w:pPr>
        <w:spacing w:after="85"/>
        <w:ind w:left="431"/>
      </w:pPr>
      <w:r>
        <w:rPr>
          <w:b w:val="false"/>
          <w:bCs w:val="false"/>
          <w:i w:val="false"/>
          <w:iCs w:val="false"/>
          <w:color w:val="141F1D"/>
          <w:sz w:val="20"/>
          <w:szCs w:val="20"/>
        </w:rPr>
        <w:t xml:space="preserve">Clinical review of the AI impact assessment before it goes anywhere external.</w:t>
      </w:r>
    </w:p>
    <w:p>
      <w:pPr>
        <w:spacing w:after="90" w:before="250"/>
      </w:pPr>
      <w:r>
        <w:rPr>
          <w:b/>
          <w:bCs/>
          <w:color w:val="0F6E63"/>
          <w:sz w:val="23"/>
          <w:szCs w:val="23"/>
        </w:rPr>
        <w:t xml:space="preserve">5.  </w:t>
      </w:r>
      <w:r>
        <w:rPr>
          <w:b/>
          <w:bCs/>
          <w:color w:val="141F1D"/>
          <w:sz w:val="23"/>
          <w:szCs w:val="23"/>
        </w:rPr>
        <w:t xml:space="preserve">Marie</w:t>
      </w:r>
      <w:r>
        <w:rPr>
          <w:color w:val="5A6B66"/>
          <w:sz w:val="17"/>
          <w:szCs w:val="17"/>
        </w:rPr>
        <w:t xml:space="preserve">   3 min</w:t>
      </w:r>
    </w:p>
    <w:p>
      <w:pPr>
        <w:spacing w:after="85"/>
        <w:ind w:left="431"/>
      </w:pPr>
      <w:r>
        <w:rPr>
          <w:b w:val="false"/>
          <w:bCs w:val="false"/>
          <w:i w:val="false"/>
          <w:iCs w:val="false"/>
          <w:color w:val="141F1D"/>
          <w:sz w:val="20"/>
          <w:szCs w:val="20"/>
        </w:rPr>
        <w:t xml:space="preserve">Outcome of Monday, and the next step. A scope conversation, not a title conversation.</w:t>
      </w:r>
    </w:p>
    <w:p>
      <w:pPr>
        <w:spacing w:after="90" w:before="250"/>
      </w:pPr>
      <w:r>
        <w:rPr>
          <w:b/>
          <w:bCs/>
          <w:color w:val="0F6E63"/>
          <w:sz w:val="23"/>
          <w:szCs w:val="23"/>
        </w:rPr>
        <w:t xml:space="preserve">6.  </w:t>
      </w:r>
      <w:r>
        <w:rPr>
          <w:b/>
          <w:bCs/>
          <w:color w:val="141F1D"/>
          <w:sz w:val="23"/>
          <w:szCs w:val="23"/>
        </w:rPr>
        <w:t xml:space="preserve">Two flags</w:t>
      </w:r>
      <w:r>
        <w:rPr>
          <w:color w:val="5A6B66"/>
          <w:sz w:val="17"/>
          <w:szCs w:val="17"/>
        </w:rPr>
        <w:t xml:space="preserve">   2 min</w:t>
      </w:r>
    </w:p>
    <w:p>
      <w:pPr>
        <w:pStyle w:val="ListParagraph"/>
        <w:numPr>
          <w:ilvl w:val="0"/>
          <w:numId w:val="2"/>
        </w:numPr>
        <w:spacing w:after="65"/>
      </w:pPr>
      <w:r>
        <w:rPr>
          <w:b w:val="false"/>
          <w:bCs w:val="false"/>
          <w:color w:val="141F1D"/>
          <w:sz w:val="20"/>
          <w:szCs w:val="20"/>
        </w:rPr>
        <w:t xml:space="preserve">Build completes mid-to-late September — before UCAC. That changes what we can show.</w:t>
      </w:r>
    </w:p>
    <w:p>
      <w:pPr>
        <w:pStyle w:val="ListParagraph"/>
        <w:numPr>
          <w:ilvl w:val="0"/>
          <w:numId w:val="2"/>
        </w:numPr>
        <w:spacing w:after="65"/>
      </w:pPr>
      <w:r>
        <w:rPr>
          <w:b w:val="false"/>
          <w:bCs w:val="false"/>
          <w:color w:val="141F1D"/>
          <w:sz w:val="20"/>
          <w:szCs w:val="20"/>
        </w:rPr>
        <w:t xml:space="preserve">Content Advisory Panel has slipped since 14 Aug. Wallace, Simpson and Byatt nominated 12 Aug.</w:t>
      </w:r>
    </w:p>
    <w:p>
      <w:pPr>
        <w:spacing w:after="20" w:before="340"/>
      </w:pPr>
      <w:r>
        <w:rPr>
          <w:b/>
          <w:bCs/>
          <w:color w:val="141F1D"/>
          <w:sz w:val="26"/>
          <w:szCs w:val="26"/>
        </w:rPr>
        <w:t xml:space="preserve">Workshop 1.2.B — Business</w:t>
      </w:r>
    </w:p>
    <w:p>
      <w:pPr>
        <w:spacing w:after="110"/>
      </w:pPr>
      <w:r>
        <w:rPr>
          <w:color w:val="0F6E63"/>
          <w:sz w:val="18"/>
          <w:szCs w:val="18"/>
        </w:rPr>
        <w:t xml:space="preserve">10:00 – 10:30</w:t>
      </w:r>
    </w:p>
    <w:p>
      <w:pPr>
        <w:spacing w:after="90" w:before="250"/>
      </w:pPr>
      <w:r>
        <w:rPr>
          <w:b/>
          <w:bCs/>
          <w:color w:val="0F6E63"/>
          <w:sz w:val="23"/>
          <w:szCs w:val="23"/>
        </w:rPr>
        <w:t xml:space="preserve">1.  </w:t>
      </w:r>
      <w:r>
        <w:rPr>
          <w:b/>
          <w:bCs/>
          <w:color w:val="141F1D"/>
          <w:sz w:val="23"/>
          <w:szCs w:val="23"/>
        </w:rPr>
        <w:t xml:space="preserve">Pricing</w:t>
      </w:r>
      <w:r>
        <w:rPr>
          <w:color w:val="5A6B66"/>
          <w:sz w:val="17"/>
          <w:szCs w:val="17"/>
        </w:rPr>
        <w:t xml:space="preserve">   15 min</w:t>
      </w:r>
    </w:p>
    <w:p>
      <w:pPr>
        <w:spacing w:after="85"/>
        <w:ind w:left="431"/>
      </w:pPr>
      <w:r>
        <w:rPr>
          <w:b w:val="false"/>
          <w:bCs w:val="false"/>
          <w:i w:val="false"/>
          <w:iCs w:val="false"/>
          <w:color w:val="141F1D"/>
          <w:sz w:val="20"/>
          <w:szCs w:val="20"/>
        </w:rPr>
        <w:t xml:space="preserve">Position resolved: the Pricing Model's $28k / $48k / $72k / $95k is canonical, banded by births per year with included-mother caps. Adding an $18,000 entry tier for 150 mothers as the pilot on-ramp. Enterprise needs an inclusion cap — it runs at 6% margin, and negative once platform support is loaded.</w:t>
      </w:r>
    </w:p>
    <w:p>
      <w:pPr>
        <w:spacing w:after="85"/>
        <w:ind w:left="431"/>
      </w:pPr>
      <w:r>
        <w:rPr>
          <w:b/>
          <w:bCs/>
          <w:i w:val="false"/>
          <w:iCs w:val="false"/>
          <w:color w:val="141F1D"/>
          <w:sz w:val="20"/>
          <w:szCs w:val="20"/>
        </w:rPr>
        <w:t xml:space="preserve">Ask: endorsement to make this the single schedule and retire the Business Plan's list.</w:t>
      </w:r>
    </w:p>
    <w:p>
      <w:pPr>
        <w:spacing w:after="90" w:before="250"/>
      </w:pPr>
      <w:r>
        <w:rPr>
          <w:b/>
          <w:bCs/>
          <w:color w:val="0F6E63"/>
          <w:sz w:val="23"/>
          <w:szCs w:val="23"/>
        </w:rPr>
        <w:t xml:space="preserve">2.  </w:t>
      </w:r>
      <w:r>
        <w:rPr>
          <w:b/>
          <w:bCs/>
          <w:color w:val="141F1D"/>
          <w:sz w:val="23"/>
          <w:szCs w:val="23"/>
        </w:rPr>
        <w:t xml:space="preserve">Which budget does a health service buy this from?</w:t>
      </w:r>
      <w:r>
        <w:rPr>
          <w:color w:val="5A6B66"/>
          <w:sz w:val="17"/>
          <w:szCs w:val="17"/>
        </w:rPr>
        <w:t xml:space="preserve">   15 min</w:t>
      </w:r>
    </w:p>
    <w:p>
      <w:pPr>
        <w:spacing w:after="85"/>
        <w:ind w:left="431"/>
      </w:pPr>
      <w:r>
        <w:rPr>
          <w:b w:val="false"/>
          <w:bCs w:val="false"/>
          <w:i w:val="false"/>
          <w:iCs w:val="false"/>
          <w:color w:val="141F1D"/>
          <w:sz w:val="20"/>
          <w:szCs w:val="20"/>
        </w:rPr>
        <w:t xml:space="preserve">The question everything commercial sits downstream of, and we have not answered it. No Australian health service holds a patient-education budget line. Workforce capacity and equity of access do have lines — and they are the Taskforce's own priorities.</w:t>
      </w:r>
    </w:p>
    <w:p>
      <w:pPr>
        <w:spacing w:after="85"/>
        <w:ind w:left="431"/>
      </w:pPr>
      <w:r>
        <w:rPr>
          <w:b/>
          <w:bCs/>
          <w:i w:val="false"/>
          <w:iCs w:val="false"/>
          <w:color w:val="141F1D"/>
          <w:sz w:val="20"/>
          <w:szCs w:val="20"/>
        </w:rPr>
        <w:t xml:space="preserve">Ask: ACU's read on where this actually gets paid from — and whether regional Victorian services can contract as a network rather than individually. Thirty-three of fifty-two providers turn on that answer.</w:t>
      </w:r>
    </w:p>
    <w:p>
      <w:pPr>
        <w:pBdr>
          <w:bottom w:val="single" w:color="C6D3CF" w:sz="6"/>
        </w:pBdr>
        <w:spacing w:after="170" w:before="60"/>
      </w:pPr>
    </w:p>
    <w:p>
      <w:pPr>
        <w:spacing w:after="100" w:before="60"/>
      </w:pPr>
      <w:r>
        <w:rPr>
          <w:b/>
          <w:bCs/>
          <w:caps/>
          <w:color w:val="5A6B66"/>
          <w:spacing w:val="26"/>
          <w:sz w:val="16"/>
          <w:szCs w:val="16"/>
        </w:rPr>
        <w:t xml:space="preserve">Actionable tasks out of the meeting</w:t>
      </w:r>
    </w:p>
    <w:tbl>
      <w:tblPr>
        <w:tblW w:type="dxa" w:w="8320"/>
        <w:tblBorders>
          <w:top w:val="single" w:color="DBE4E1" w:sz="4"/>
          <w:left w:val="none"/>
          <w:bottom w:val="single" w:color="DBE4E1" w:sz="4"/>
          <w:right w:val="none"/>
          <w:insideH w:val="single" w:color="E7EDEB" w:sz="4"/>
          <w:insideV w:val="none"/>
        </w:tblBorders>
      </w:tblPr>
      <w:tblGrid>
        <w:gridCol w:w="520"/>
        <w:gridCol w:w="4700"/>
        <w:gridCol w:w="1900"/>
        <w:gridCol w:w="1200"/>
      </w:tblGrid>
      <w:tr>
        <w:tc>
          <w:tcPr>
            <w:tcW w:type="dxa" w:w="520"/>
            <w:shd w:fill="EFF4F3" w:val="clear"/>
            <w:tcMar>
              <w:top w:type="dxa" w:w="80"/>
              <w:left w:type="dxa" w:w="110"/>
              <w:bottom w:type="dxa" w:w="80"/>
              <w:right w:type="dxa" w:w="110"/>
            </w:tcMar>
          </w:tcPr>
          <w:p>
            <w:r>
              <w:rPr>
                <w:b/>
                <w:bCs/>
                <w:caps/>
                <w:color w:val="5A6B66"/>
                <w:spacing w:val="18"/>
                <w:sz w:val="15"/>
                <w:szCs w:val="15"/>
              </w:rPr>
              <w:t xml:space="preserve">#</w:t>
            </w:r>
          </w:p>
        </w:tc>
        <w:tc>
          <w:tcPr>
            <w:tcW w:type="dxa" w:w="4700"/>
            <w:shd w:fill="EFF4F3" w:val="clear"/>
            <w:tcMar>
              <w:top w:type="dxa" w:w="80"/>
              <w:left w:type="dxa" w:w="110"/>
              <w:bottom w:type="dxa" w:w="80"/>
              <w:right w:type="dxa" w:w="110"/>
            </w:tcMar>
          </w:tcPr>
          <w:p>
            <w:r>
              <w:rPr>
                <w:b/>
                <w:bCs/>
                <w:caps/>
                <w:color w:val="5A6B66"/>
                <w:spacing w:val="18"/>
                <w:sz w:val="15"/>
                <w:szCs w:val="15"/>
              </w:rPr>
              <w:t xml:space="preserve">Task</w:t>
            </w:r>
          </w:p>
        </w:tc>
        <w:tc>
          <w:tcPr>
            <w:tcW w:type="dxa" w:w="1900"/>
            <w:shd w:fill="EFF4F3" w:val="clear"/>
            <w:tcMar>
              <w:top w:type="dxa" w:w="80"/>
              <w:left w:type="dxa" w:w="110"/>
              <w:bottom w:type="dxa" w:w="80"/>
              <w:right w:type="dxa" w:w="110"/>
            </w:tcMar>
          </w:tcPr>
          <w:p>
            <w:r>
              <w:rPr>
                <w:b/>
                <w:bCs/>
                <w:caps/>
                <w:color w:val="5A6B66"/>
                <w:spacing w:val="18"/>
                <w:sz w:val="15"/>
                <w:szCs w:val="15"/>
              </w:rPr>
              <w:t xml:space="preserve">Owner</w:t>
            </w:r>
          </w:p>
        </w:tc>
        <w:tc>
          <w:tcPr>
            <w:tcW w:type="dxa" w:w="1200"/>
            <w:shd w:fill="EFF4F3" w:val="clear"/>
            <w:tcMar>
              <w:top w:type="dxa" w:w="80"/>
              <w:left w:type="dxa" w:w="110"/>
              <w:bottom w:type="dxa" w:w="80"/>
              <w:right w:type="dxa" w:w="110"/>
            </w:tcMar>
          </w:tcPr>
          <w:p>
            <w:r>
              <w:rPr>
                <w:b/>
                <w:bCs/>
                <w:caps/>
                <w:color w:val="5A6B66"/>
                <w:spacing w:val="18"/>
                <w:sz w:val="15"/>
                <w:szCs w:val="15"/>
              </w:rPr>
              <w:t xml:space="preserve">By</w:t>
            </w:r>
          </w:p>
        </w:tc>
      </w:tr>
      <w:tr>
        <w:tc>
          <w:tcPr>
            <w:tcW w:type="dxa" w:w="520"/>
            <w:tcMar>
              <w:top w:type="dxa" w:w="80"/>
              <w:left w:type="dxa" w:w="110"/>
              <w:bottom w:type="dxa" w:w="80"/>
              <w:right w:type="dxa" w:w="110"/>
            </w:tcMar>
          </w:tcPr>
          <w:p>
            <w:r>
              <w:rPr>
                <w:caps w:val="false"/>
                <w:color w:val="141F1D"/>
                <w:sz w:val="19"/>
                <w:szCs w:val="19"/>
              </w:rPr>
              <w:t xml:space="preserve">1</w:t>
            </w:r>
          </w:p>
        </w:tc>
        <w:tc>
          <w:tcPr>
            <w:tcW w:type="dxa" w:w="4700"/>
            <w:tcMar>
              <w:top w:type="dxa" w:w="80"/>
              <w:left w:type="dxa" w:w="110"/>
              <w:bottom w:type="dxa" w:w="80"/>
              <w:right w:type="dxa" w:w="110"/>
            </w:tcMar>
          </w:tcPr>
          <w:p>
            <w:r>
              <w:rPr>
                <w:caps w:val="false"/>
                <w:color w:val="141F1D"/>
                <w:sz w:val="19"/>
                <w:szCs w:val="19"/>
              </w:rPr>
              <w:t xml:space="preserve">Thursday 1.2.R&amp;D — move it or nominate cover</w:t>
            </w:r>
          </w:p>
        </w:tc>
        <w:tc>
          <w:tcPr>
            <w:tcW w:type="dxa" w:w="1900"/>
            <w:tcMar>
              <w:top w:type="dxa" w:w="80"/>
              <w:left w:type="dxa" w:w="110"/>
              <w:bottom w:type="dxa" w:w="80"/>
              <w:right w:type="dxa" w:w="110"/>
            </w:tcMar>
          </w:tcPr>
          <w:p>
            <w:r>
              <w:rPr>
                <w:caps w:val="false"/>
                <w:color w:val="141F1D"/>
                <w:sz w:val="19"/>
                <w:szCs w:val="19"/>
              </w:rPr>
              <w:t xml:space="preserve">Russell</w:t>
            </w:r>
          </w:p>
        </w:tc>
        <w:tc>
          <w:tcPr>
            <w:tcW w:type="dxa" w:w="1200"/>
            <w:tcMar>
              <w:top w:type="dxa" w:w="80"/>
              <w:left w:type="dxa" w:w="110"/>
              <w:bottom w:type="dxa" w:w="80"/>
              <w:right w:type="dxa" w:w="110"/>
            </w:tcMar>
          </w:tcPr>
          <w:p>
            <w:r>
              <w:rPr>
                <w:caps w:val="false"/>
                <w:color w:val="A6342B"/>
                <w:sz w:val="19"/>
                <w:szCs w:val="19"/>
              </w:rPr>
              <w:t xml:space="preserve">TODAY</w:t>
            </w:r>
          </w:p>
        </w:tc>
      </w:tr>
      <w:tr>
        <w:tc>
          <w:tcPr>
            <w:tcW w:type="dxa" w:w="520"/>
            <w:tcMar>
              <w:top w:type="dxa" w:w="80"/>
              <w:left w:type="dxa" w:w="110"/>
              <w:bottom w:type="dxa" w:w="80"/>
              <w:right w:type="dxa" w:w="110"/>
            </w:tcMar>
          </w:tcPr>
          <w:p>
            <w:r>
              <w:rPr>
                <w:caps w:val="false"/>
                <w:color w:val="141F1D"/>
                <w:sz w:val="19"/>
                <w:szCs w:val="19"/>
              </w:rPr>
              <w:t xml:space="preserve">2</w:t>
            </w:r>
          </w:p>
        </w:tc>
        <w:tc>
          <w:tcPr>
            <w:tcW w:type="dxa" w:w="4700"/>
            <w:tcMar>
              <w:top w:type="dxa" w:w="80"/>
              <w:left w:type="dxa" w:w="110"/>
              <w:bottom w:type="dxa" w:w="80"/>
              <w:right w:type="dxa" w:w="110"/>
            </w:tcMar>
          </w:tcPr>
          <w:p>
            <w:r>
              <w:rPr>
                <w:caps w:val="false"/>
                <w:color w:val="141F1D"/>
                <w:sz w:val="19"/>
                <w:szCs w:val="19"/>
              </w:rPr>
              <w:t xml:space="preserve">Dated position on ACU's $650,000</w:t>
            </w:r>
          </w:p>
        </w:tc>
        <w:tc>
          <w:tcPr>
            <w:tcW w:type="dxa" w:w="1900"/>
            <w:tcMar>
              <w:top w:type="dxa" w:w="80"/>
              <w:left w:type="dxa" w:w="110"/>
              <w:bottom w:type="dxa" w:w="80"/>
              <w:right w:type="dxa" w:w="110"/>
            </w:tcMar>
          </w:tcPr>
          <w:p>
            <w:r>
              <w:rPr>
                <w:caps w:val="false"/>
                <w:color w:val="141F1D"/>
                <w:sz w:val="19"/>
                <w:szCs w:val="19"/>
              </w:rPr>
              <w:t xml:space="preserve">Russell + Bill</w:t>
            </w:r>
          </w:p>
        </w:tc>
        <w:tc>
          <w:tcPr>
            <w:tcW w:type="dxa" w:w="1200"/>
            <w:tcMar>
              <w:top w:type="dxa" w:w="80"/>
              <w:left w:type="dxa" w:w="110"/>
              <w:bottom w:type="dxa" w:w="80"/>
              <w:right w:type="dxa" w:w="110"/>
            </w:tcMar>
          </w:tcPr>
          <w:p>
            <w:r>
              <w:rPr>
                <w:caps w:val="false"/>
                <w:color w:val="A6342B"/>
                <w:sz w:val="19"/>
                <w:szCs w:val="19"/>
              </w:rPr>
              <w:t xml:space="preserve">AT MEETING</w:t>
            </w:r>
          </w:p>
        </w:tc>
      </w:tr>
      <w:tr>
        <w:tc>
          <w:tcPr>
            <w:tcW w:type="dxa" w:w="520"/>
            <w:tcMar>
              <w:top w:type="dxa" w:w="80"/>
              <w:left w:type="dxa" w:w="110"/>
              <w:bottom w:type="dxa" w:w="80"/>
              <w:right w:type="dxa" w:w="110"/>
            </w:tcMar>
          </w:tcPr>
          <w:p>
            <w:r>
              <w:rPr>
                <w:caps w:val="false"/>
                <w:color w:val="141F1D"/>
                <w:sz w:val="19"/>
                <w:szCs w:val="19"/>
              </w:rPr>
              <w:t xml:space="preserve">3</w:t>
            </w:r>
          </w:p>
        </w:tc>
        <w:tc>
          <w:tcPr>
            <w:tcW w:type="dxa" w:w="4700"/>
            <w:tcMar>
              <w:top w:type="dxa" w:w="80"/>
              <w:left w:type="dxa" w:w="110"/>
              <w:bottom w:type="dxa" w:w="80"/>
              <w:right w:type="dxa" w:w="110"/>
            </w:tcMar>
          </w:tcPr>
          <w:p>
            <w:r>
              <w:rPr>
                <w:caps w:val="false"/>
                <w:color w:val="141F1D"/>
                <w:sz w:val="19"/>
                <w:szCs w:val="19"/>
              </w:rPr>
              <w:t xml:space="preserve">Dated position on the Heads of Agreement</w:t>
            </w:r>
          </w:p>
        </w:tc>
        <w:tc>
          <w:tcPr>
            <w:tcW w:type="dxa" w:w="1900"/>
            <w:tcMar>
              <w:top w:type="dxa" w:w="80"/>
              <w:left w:type="dxa" w:w="110"/>
              <w:bottom w:type="dxa" w:w="80"/>
              <w:right w:type="dxa" w:w="110"/>
            </w:tcMar>
          </w:tcPr>
          <w:p>
            <w:r>
              <w:rPr>
                <w:caps w:val="false"/>
                <w:color w:val="141F1D"/>
                <w:sz w:val="19"/>
                <w:szCs w:val="19"/>
              </w:rPr>
              <w:t xml:space="preserve">Russell</w:t>
            </w:r>
          </w:p>
        </w:tc>
        <w:tc>
          <w:tcPr>
            <w:tcW w:type="dxa" w:w="1200"/>
            <w:tcMar>
              <w:top w:type="dxa" w:w="80"/>
              <w:left w:type="dxa" w:w="110"/>
              <w:bottom w:type="dxa" w:w="80"/>
              <w:right w:type="dxa" w:w="110"/>
            </w:tcMar>
          </w:tcPr>
          <w:p>
            <w:r>
              <w:rPr>
                <w:caps w:val="false"/>
                <w:color w:val="A6342B"/>
                <w:sz w:val="19"/>
                <w:szCs w:val="19"/>
              </w:rPr>
              <w:t xml:space="preserve">AT MEETING</w:t>
            </w:r>
          </w:p>
        </w:tc>
      </w:tr>
      <w:tr>
        <w:tc>
          <w:tcPr>
            <w:tcW w:type="dxa" w:w="520"/>
            <w:tcMar>
              <w:top w:type="dxa" w:w="80"/>
              <w:left w:type="dxa" w:w="110"/>
              <w:bottom w:type="dxa" w:w="80"/>
              <w:right w:type="dxa" w:w="110"/>
            </w:tcMar>
          </w:tcPr>
          <w:p>
            <w:r>
              <w:rPr>
                <w:caps w:val="false"/>
                <w:color w:val="141F1D"/>
                <w:sz w:val="19"/>
                <w:szCs w:val="19"/>
              </w:rPr>
              <w:t xml:space="preserve">4</w:t>
            </w:r>
          </w:p>
        </w:tc>
        <w:tc>
          <w:tcPr>
            <w:tcW w:type="dxa" w:w="4700"/>
            <w:tcMar>
              <w:top w:type="dxa" w:w="80"/>
              <w:left w:type="dxa" w:w="110"/>
              <w:bottom w:type="dxa" w:w="80"/>
              <w:right w:type="dxa" w:w="110"/>
            </w:tcMar>
          </w:tcPr>
          <w:p>
            <w:r>
              <w:rPr>
                <w:caps w:val="false"/>
                <w:color w:val="141F1D"/>
                <w:sz w:val="19"/>
                <w:szCs w:val="19"/>
              </w:rPr>
              <w:t xml:space="preserve">Ethics pathway — route and realistic duration</w:t>
            </w:r>
          </w:p>
        </w:tc>
        <w:tc>
          <w:tcPr>
            <w:tcW w:type="dxa" w:w="1900"/>
            <w:tcMar>
              <w:top w:type="dxa" w:w="80"/>
              <w:left w:type="dxa" w:w="110"/>
              <w:bottom w:type="dxa" w:w="80"/>
              <w:right w:type="dxa" w:w="110"/>
            </w:tcMar>
          </w:tcPr>
          <w:p>
            <w:r>
              <w:rPr>
                <w:caps w:val="false"/>
                <w:color w:val="141F1D"/>
                <w:sz w:val="19"/>
                <w:szCs w:val="19"/>
              </w:rPr>
              <w:t xml:space="preserve">Lois</w:t>
            </w:r>
          </w:p>
        </w:tc>
        <w:tc>
          <w:tcPr>
            <w:tcW w:type="dxa" w:w="1200"/>
            <w:tcMar>
              <w:top w:type="dxa" w:w="80"/>
              <w:left w:type="dxa" w:w="110"/>
              <w:bottom w:type="dxa" w:w="80"/>
              <w:right w:type="dxa" w:w="110"/>
            </w:tcMar>
          </w:tcPr>
          <w:p>
            <w:r>
              <w:rPr>
                <w:caps w:val="false"/>
                <w:color w:val="A6342B"/>
                <w:sz w:val="19"/>
                <w:szCs w:val="19"/>
              </w:rPr>
              <w:t xml:space="preserve">THIS WEEK</w:t>
            </w:r>
          </w:p>
        </w:tc>
      </w:tr>
      <w:tr>
        <w:tc>
          <w:tcPr>
            <w:tcW w:type="dxa" w:w="520"/>
            <w:tcMar>
              <w:top w:type="dxa" w:w="80"/>
              <w:left w:type="dxa" w:w="110"/>
              <w:bottom w:type="dxa" w:w="80"/>
              <w:right w:type="dxa" w:w="110"/>
            </w:tcMar>
          </w:tcPr>
          <w:p>
            <w:r>
              <w:rPr>
                <w:caps w:val="false"/>
                <w:color w:val="141F1D"/>
                <w:sz w:val="19"/>
                <w:szCs w:val="19"/>
              </w:rPr>
              <w:t xml:space="preserve">5</w:t>
            </w:r>
          </w:p>
        </w:tc>
        <w:tc>
          <w:tcPr>
            <w:tcW w:type="dxa" w:w="4700"/>
            <w:tcMar>
              <w:top w:type="dxa" w:w="80"/>
              <w:left w:type="dxa" w:w="110"/>
              <w:bottom w:type="dxa" w:w="80"/>
              <w:right w:type="dxa" w:w="110"/>
            </w:tcMar>
          </w:tcPr>
          <w:p>
            <w:r>
              <w:rPr>
                <w:caps w:val="false"/>
                <w:color w:val="141F1D"/>
                <w:sz w:val="19"/>
                <w:szCs w:val="19"/>
              </w:rPr>
              <w:t xml:space="preserve">ACM re-approach routed through Lois</w:t>
            </w:r>
          </w:p>
        </w:tc>
        <w:tc>
          <w:tcPr>
            <w:tcW w:type="dxa" w:w="1900"/>
            <w:tcMar>
              <w:top w:type="dxa" w:w="80"/>
              <w:left w:type="dxa" w:w="110"/>
              <w:bottom w:type="dxa" w:w="80"/>
              <w:right w:type="dxa" w:w="110"/>
            </w:tcMar>
          </w:tcPr>
          <w:p>
            <w:r>
              <w:rPr>
                <w:caps w:val="false"/>
                <w:color w:val="141F1D"/>
                <w:sz w:val="19"/>
                <w:szCs w:val="19"/>
              </w:rPr>
              <w:t xml:space="preserve">Lois + Brad</w:t>
            </w:r>
          </w:p>
        </w:tc>
        <w:tc>
          <w:tcPr>
            <w:tcW w:type="dxa" w:w="1200"/>
            <w:tcMar>
              <w:top w:type="dxa" w:w="80"/>
              <w:left w:type="dxa" w:w="110"/>
              <w:bottom w:type="dxa" w:w="80"/>
              <w:right w:type="dxa" w:w="110"/>
            </w:tcMar>
          </w:tcPr>
          <w:p>
            <w:r>
              <w:rPr>
                <w:caps w:val="false"/>
                <w:color w:val="141F1D"/>
                <w:sz w:val="19"/>
                <w:szCs w:val="19"/>
              </w:rPr>
              <w:t xml:space="preserve">This week</w:t>
            </w:r>
          </w:p>
        </w:tc>
      </w:tr>
      <w:tr>
        <w:tc>
          <w:tcPr>
            <w:tcW w:type="dxa" w:w="520"/>
            <w:tcMar>
              <w:top w:type="dxa" w:w="80"/>
              <w:left w:type="dxa" w:w="110"/>
              <w:bottom w:type="dxa" w:w="80"/>
              <w:right w:type="dxa" w:w="110"/>
            </w:tcMar>
          </w:tcPr>
          <w:p>
            <w:r>
              <w:rPr>
                <w:caps w:val="false"/>
                <w:color w:val="141F1D"/>
                <w:sz w:val="19"/>
                <w:szCs w:val="19"/>
              </w:rPr>
              <w:t xml:space="preserve">6</w:t>
            </w:r>
          </w:p>
        </w:tc>
        <w:tc>
          <w:tcPr>
            <w:tcW w:type="dxa" w:w="4700"/>
            <w:tcMar>
              <w:top w:type="dxa" w:w="80"/>
              <w:left w:type="dxa" w:w="110"/>
              <w:bottom w:type="dxa" w:w="80"/>
              <w:right w:type="dxa" w:w="110"/>
            </w:tcMar>
          </w:tcPr>
          <w:p>
            <w:r>
              <w:rPr>
                <w:caps w:val="false"/>
                <w:color w:val="141F1D"/>
                <w:sz w:val="19"/>
                <w:szCs w:val="19"/>
              </w:rPr>
              <w:t xml:space="preserve">Clinical review of the AI impact assessment</w:t>
            </w:r>
          </w:p>
        </w:tc>
        <w:tc>
          <w:tcPr>
            <w:tcW w:type="dxa" w:w="1900"/>
            <w:tcMar>
              <w:top w:type="dxa" w:w="80"/>
              <w:left w:type="dxa" w:w="110"/>
              <w:bottom w:type="dxa" w:w="80"/>
              <w:right w:type="dxa" w:w="110"/>
            </w:tcMar>
          </w:tcPr>
          <w:p>
            <w:r>
              <w:rPr>
                <w:caps w:val="false"/>
                <w:color w:val="141F1D"/>
                <w:sz w:val="19"/>
                <w:szCs w:val="19"/>
              </w:rPr>
              <w:t xml:space="preserve">Lois</w:t>
            </w:r>
          </w:p>
        </w:tc>
        <w:tc>
          <w:tcPr>
            <w:tcW w:type="dxa" w:w="1200"/>
            <w:tcMar>
              <w:top w:type="dxa" w:w="80"/>
              <w:left w:type="dxa" w:w="110"/>
              <w:bottom w:type="dxa" w:w="80"/>
              <w:right w:type="dxa" w:w="110"/>
            </w:tcMar>
          </w:tcPr>
          <w:p>
            <w:r>
              <w:rPr>
                <w:caps w:val="false"/>
                <w:color w:val="141F1D"/>
                <w:sz w:val="19"/>
                <w:szCs w:val="19"/>
              </w:rPr>
              <w:t xml:space="preserve">Before external use</w:t>
            </w:r>
          </w:p>
        </w:tc>
      </w:tr>
      <w:tr>
        <w:tc>
          <w:tcPr>
            <w:tcW w:type="dxa" w:w="520"/>
            <w:tcMar>
              <w:top w:type="dxa" w:w="80"/>
              <w:left w:type="dxa" w:w="110"/>
              <w:bottom w:type="dxa" w:w="80"/>
              <w:right w:type="dxa" w:w="110"/>
            </w:tcMar>
          </w:tcPr>
          <w:p>
            <w:r>
              <w:rPr>
                <w:caps w:val="false"/>
                <w:color w:val="141F1D"/>
                <w:sz w:val="19"/>
                <w:szCs w:val="19"/>
              </w:rPr>
              <w:t xml:space="preserve">7</w:t>
            </w:r>
          </w:p>
        </w:tc>
        <w:tc>
          <w:tcPr>
            <w:tcW w:type="dxa" w:w="4700"/>
            <w:tcMar>
              <w:top w:type="dxa" w:w="80"/>
              <w:left w:type="dxa" w:w="110"/>
              <w:bottom w:type="dxa" w:w="80"/>
              <w:right w:type="dxa" w:w="110"/>
            </w:tcMar>
          </w:tcPr>
          <w:p>
            <w:r>
              <w:rPr>
                <w:caps w:val="false"/>
                <w:color w:val="141F1D"/>
                <w:sz w:val="19"/>
                <w:szCs w:val="19"/>
              </w:rPr>
              <w:t xml:space="preserve">Endorse the canonical pricing schedule</w:t>
            </w:r>
          </w:p>
        </w:tc>
        <w:tc>
          <w:tcPr>
            <w:tcW w:type="dxa" w:w="1900"/>
            <w:tcMar>
              <w:top w:type="dxa" w:w="80"/>
              <w:left w:type="dxa" w:w="110"/>
              <w:bottom w:type="dxa" w:w="80"/>
              <w:right w:type="dxa" w:w="110"/>
            </w:tcMar>
          </w:tcPr>
          <w:p>
            <w:r>
              <w:rPr>
                <w:caps w:val="false"/>
                <w:color w:val="141F1D"/>
                <w:sz w:val="19"/>
                <w:szCs w:val="19"/>
              </w:rPr>
              <w:t xml:space="preserve">Russell + Bill</w:t>
            </w:r>
          </w:p>
        </w:tc>
        <w:tc>
          <w:tcPr>
            <w:tcW w:type="dxa" w:w="1200"/>
            <w:tcMar>
              <w:top w:type="dxa" w:w="80"/>
              <w:left w:type="dxa" w:w="110"/>
              <w:bottom w:type="dxa" w:w="80"/>
              <w:right w:type="dxa" w:w="110"/>
            </w:tcMar>
          </w:tcPr>
          <w:p>
            <w:r>
              <w:rPr>
                <w:caps w:val="false"/>
                <w:color w:val="141F1D"/>
                <w:sz w:val="19"/>
                <w:szCs w:val="19"/>
              </w:rPr>
              <w:t xml:space="preserve">At meeting</w:t>
            </w:r>
          </w:p>
        </w:tc>
      </w:tr>
      <w:tr>
        <w:tc>
          <w:tcPr>
            <w:tcW w:type="dxa" w:w="520"/>
            <w:tcMar>
              <w:top w:type="dxa" w:w="80"/>
              <w:left w:type="dxa" w:w="110"/>
              <w:bottom w:type="dxa" w:w="80"/>
              <w:right w:type="dxa" w:w="110"/>
            </w:tcMar>
          </w:tcPr>
          <w:p>
            <w:r>
              <w:rPr>
                <w:caps w:val="false"/>
                <w:color w:val="141F1D"/>
                <w:sz w:val="19"/>
                <w:szCs w:val="19"/>
              </w:rPr>
              <w:t xml:space="preserve">8</w:t>
            </w:r>
          </w:p>
        </w:tc>
        <w:tc>
          <w:tcPr>
            <w:tcW w:type="dxa" w:w="4700"/>
            <w:tcMar>
              <w:top w:type="dxa" w:w="80"/>
              <w:left w:type="dxa" w:w="110"/>
              <w:bottom w:type="dxa" w:w="80"/>
              <w:right w:type="dxa" w:w="110"/>
            </w:tcMar>
          </w:tcPr>
          <w:p>
            <w:r>
              <w:rPr>
                <w:caps w:val="false"/>
                <w:color w:val="141F1D"/>
                <w:sz w:val="19"/>
                <w:szCs w:val="19"/>
              </w:rPr>
              <w:t xml:space="preserve">Can regional Victorian services contract as a network?</w:t>
            </w:r>
          </w:p>
        </w:tc>
        <w:tc>
          <w:tcPr>
            <w:tcW w:type="dxa" w:w="1900"/>
            <w:tcMar>
              <w:top w:type="dxa" w:w="80"/>
              <w:left w:type="dxa" w:w="110"/>
              <w:bottom w:type="dxa" w:w="80"/>
              <w:right w:type="dxa" w:w="110"/>
            </w:tcMar>
          </w:tcPr>
          <w:p>
            <w:r>
              <w:rPr>
                <w:caps w:val="false"/>
                <w:color w:val="141F1D"/>
                <w:sz w:val="19"/>
                <w:szCs w:val="19"/>
              </w:rPr>
              <w:t xml:space="preserve">Lois</w:t>
            </w:r>
          </w:p>
        </w:tc>
        <w:tc>
          <w:tcPr>
            <w:tcW w:type="dxa" w:w="1200"/>
            <w:tcMar>
              <w:top w:type="dxa" w:w="80"/>
              <w:left w:type="dxa" w:w="110"/>
              <w:bottom w:type="dxa" w:w="80"/>
              <w:right w:type="dxa" w:w="110"/>
            </w:tcMar>
          </w:tcPr>
          <w:p>
            <w:r>
              <w:rPr>
                <w:caps w:val="false"/>
                <w:color w:val="141F1D"/>
                <w:sz w:val="19"/>
                <w:szCs w:val="19"/>
              </w:rPr>
              <w:t xml:space="preserve">Next weekly</w:t>
            </w:r>
          </w:p>
        </w:tc>
      </w:tr>
      <w:tr>
        <w:tc>
          <w:tcPr>
            <w:tcW w:type="dxa" w:w="520"/>
            <w:tcMar>
              <w:top w:type="dxa" w:w="80"/>
              <w:left w:type="dxa" w:w="110"/>
              <w:bottom w:type="dxa" w:w="80"/>
              <w:right w:type="dxa" w:w="110"/>
            </w:tcMar>
          </w:tcPr>
          <w:p>
            <w:r>
              <w:rPr>
                <w:caps w:val="false"/>
                <w:color w:val="141F1D"/>
                <w:sz w:val="19"/>
                <w:szCs w:val="19"/>
              </w:rPr>
              <w:t xml:space="preserve">9</w:t>
            </w:r>
          </w:p>
        </w:tc>
        <w:tc>
          <w:tcPr>
            <w:tcW w:type="dxa" w:w="4700"/>
            <w:tcMar>
              <w:top w:type="dxa" w:w="80"/>
              <w:left w:type="dxa" w:w="110"/>
              <w:bottom w:type="dxa" w:w="80"/>
              <w:right w:type="dxa" w:w="110"/>
            </w:tcMar>
          </w:tcPr>
          <w:p>
            <w:r>
              <w:rPr>
                <w:caps w:val="false"/>
                <w:color w:val="141F1D"/>
                <w:sz w:val="19"/>
                <w:szCs w:val="19"/>
              </w:rPr>
              <w:t xml:space="preserve">Content Advisory Panel — charter and roster</w:t>
            </w:r>
          </w:p>
        </w:tc>
        <w:tc>
          <w:tcPr>
            <w:tcW w:type="dxa" w:w="1900"/>
            <w:tcMar>
              <w:top w:type="dxa" w:w="80"/>
              <w:left w:type="dxa" w:w="110"/>
              <w:bottom w:type="dxa" w:w="80"/>
              <w:right w:type="dxa" w:w="110"/>
            </w:tcMar>
          </w:tcPr>
          <w:p>
            <w:r>
              <w:rPr>
                <w:caps w:val="false"/>
                <w:color w:val="141F1D"/>
                <w:sz w:val="19"/>
                <w:szCs w:val="19"/>
              </w:rPr>
              <w:t xml:space="preserve">Lois</w:t>
            </w:r>
          </w:p>
        </w:tc>
        <w:tc>
          <w:tcPr>
            <w:tcW w:type="dxa" w:w="1200"/>
            <w:tcMar>
              <w:top w:type="dxa" w:w="80"/>
              <w:left w:type="dxa" w:w="110"/>
              <w:bottom w:type="dxa" w:w="80"/>
              <w:right w:type="dxa" w:w="110"/>
            </w:tcMar>
          </w:tcPr>
          <w:p>
            <w:r>
              <w:rPr>
                <w:caps w:val="false"/>
                <w:color w:val="141F1D"/>
                <w:sz w:val="19"/>
                <w:szCs w:val="19"/>
              </w:rPr>
              <w:t xml:space="preserve">Next weekly</w:t>
            </w:r>
          </w:p>
        </w:tc>
      </w:tr>
      <w:tr>
        <w:tc>
          <w:tcPr>
            <w:tcW w:type="dxa" w:w="520"/>
            <w:tcMar>
              <w:top w:type="dxa" w:w="80"/>
              <w:left w:type="dxa" w:w="110"/>
              <w:bottom w:type="dxa" w:w="80"/>
              <w:right w:type="dxa" w:w="110"/>
            </w:tcMar>
          </w:tcPr>
          <w:p>
            <w:r>
              <w:rPr>
                <w:caps w:val="false"/>
                <w:color w:val="141F1D"/>
                <w:sz w:val="19"/>
                <w:szCs w:val="19"/>
              </w:rPr>
              <w:t xml:space="preserve">10</w:t>
            </w:r>
          </w:p>
        </w:tc>
        <w:tc>
          <w:tcPr>
            <w:tcW w:type="dxa" w:w="4700"/>
            <w:tcMar>
              <w:top w:type="dxa" w:w="80"/>
              <w:left w:type="dxa" w:w="110"/>
              <w:bottom w:type="dxa" w:w="80"/>
              <w:right w:type="dxa" w:w="110"/>
            </w:tcMar>
          </w:tcPr>
          <w:p>
            <w:r>
              <w:rPr>
                <w:caps w:val="false"/>
                <w:color w:val="141F1D"/>
                <w:sz w:val="19"/>
                <w:szCs w:val="19"/>
              </w:rPr>
              <w:t xml:space="preserve">Sunshine Coast POC endorsement</w:t>
            </w:r>
          </w:p>
        </w:tc>
        <w:tc>
          <w:tcPr>
            <w:tcW w:type="dxa" w:w="1900"/>
            <w:tcMar>
              <w:top w:type="dxa" w:w="80"/>
              <w:left w:type="dxa" w:w="110"/>
              <w:bottom w:type="dxa" w:w="80"/>
              <w:right w:type="dxa" w:w="110"/>
            </w:tcMar>
          </w:tcPr>
          <w:p>
            <w:r>
              <w:rPr>
                <w:caps w:val="false"/>
                <w:color w:val="141F1D"/>
                <w:sz w:val="19"/>
                <w:szCs w:val="19"/>
              </w:rPr>
              <w:t xml:space="preserve">Russell</w:t>
            </w:r>
          </w:p>
        </w:tc>
        <w:tc>
          <w:tcPr>
            <w:tcW w:type="dxa" w:w="1200"/>
            <w:tcMar>
              <w:top w:type="dxa" w:w="80"/>
              <w:left w:type="dxa" w:w="110"/>
              <w:bottom w:type="dxa" w:w="80"/>
              <w:right w:type="dxa" w:w="110"/>
            </w:tcMar>
          </w:tcPr>
          <w:p>
            <w:r>
              <w:rPr>
                <w:caps w:val="false"/>
                <w:color w:val="141F1D"/>
                <w:sz w:val="19"/>
                <w:szCs w:val="19"/>
              </w:rPr>
              <w:t xml:space="preserve">This week</w:t>
            </w:r>
          </w:p>
        </w:tc>
      </w:tr>
    </w:tbl>
    <w:p>
      <w:pPr>
        <w:pBdr>
          <w:bottom w:val="single" w:color="C6D3CF" w:sz="6"/>
        </w:pBdr>
        <w:spacing w:after="170" w:before="60"/>
      </w:pPr>
    </w:p>
    <w:p>
      <w:pPr>
        <w:spacing w:after="100" w:before="60"/>
      </w:pPr>
      <w:r>
        <w:rPr>
          <w:b/>
          <w:bCs/>
          <w:caps/>
          <w:color w:val="5A6B66"/>
          <w:spacing w:val="26"/>
          <w:sz w:val="16"/>
          <w:szCs w:val="16"/>
        </w:rPr>
        <w:t xml:space="preserve">Hold back today</w:t>
      </w:r>
    </w:p>
    <w:p>
      <w:pPr>
        <w:spacing w:after="85"/>
        <w:ind w:left="431"/>
      </w:pPr>
      <w:r>
        <w:rPr>
          <w:b w:val="false"/>
          <w:bCs w:val="false"/>
          <w:i w:val="false"/>
          <w:iCs w:val="false"/>
          <w:color w:val="5A6B66"/>
          <w:sz w:val="20"/>
          <w:szCs w:val="20"/>
        </w:rPr>
        <w:t xml:space="preserve">The D-23 sovereignty question and the evals sequencing both belong in tomorrow's R&amp;D workshop — assuming it runs. The Ged / Victorian channel correction is a Russell one-to-one, not a group item.</w:t>
      </w:r>
    </w:p>
    <w:sectPr>
      <w:pgSz w:w="11906" w:h="16838" w:orient="portrait"/>
      <w:pgMar w:top="1050" w:right="1100" w:bottom="9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1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2026-09-01T23:29:09.301Z</dcterms:created>
  <dcterms:modified xsi:type="dcterms:W3CDTF">2026-09-01T23:29:09.314Z</dcterms:modified>
</cp:coreProperties>
</file>

<file path=docProps/custom.xml><?xml version="1.0" encoding="utf-8"?>
<Properties xmlns="http://schemas.openxmlformats.org/officeDocument/2006/custom-properties" xmlns:vt="http://schemas.openxmlformats.org/officeDocument/2006/docPropsVTypes"/>
</file>