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F1D"/>
          <w:sz w:val="36"/>
          <w:szCs w:val="36"/>
        </w:rPr>
        <w:t xml:space="preserve">Marie — 90-day engagement plan</w:t>
      </w:r>
    </w:p>
    <w:p>
      <w:pPr>
        <w:spacing w:after="60"/>
      </w:pPr>
      <w:r>
        <w:rPr>
          <w:color w:val="0F6E63"/>
          <w:sz w:val="21"/>
          <w:szCs w:val="21"/>
        </w:rPr>
        <w:t xml:space="preserve">Kindred Care  ·  trajectory to a defined commercial role</w:t>
      </w:r>
    </w:p>
    <w:p>
      <w:r>
        <w:rPr>
          <w:color w:val="5A6B66"/>
          <w:sz w:val="18"/>
          <w:szCs w:val="18"/>
        </w:rPr>
        <w:t xml:space="preserve">Draft for the one-to-one  ·  introduced by Lois McKellar, ACU</w:t>
      </w:r>
    </w:p>
    <w:p>
      <w:pPr>
        <w:pBdr>
          <w:bottom w:val="single" w:color="C6D3CF" w:sz="6"/>
        </w:pBdr>
        <w:spacing w:after="170" w:before="60"/>
      </w:pPr>
    </w:p>
    <w:p>
      <w:pPr>
        <w:spacing w:after="100" w:before="70"/>
      </w:pPr>
      <w:r>
        <w:rPr>
          <w:b/>
          <w:bCs/>
          <w:caps/>
          <w:color w:val="5A6B66"/>
          <w:spacing w:val="26"/>
          <w:sz w:val="16"/>
          <w:szCs w:val="16"/>
        </w:rPr>
        <w:t xml:space="preserve">Why 90 days and not an appointment</w:t>
      </w:r>
    </w:p>
    <w:p>
      <w:pPr>
        <w:spacing w:after="85"/>
        <w:ind w:left="0"/>
      </w:pPr>
      <w:r>
        <w:rPr>
          <w:b w:val="false"/>
          <w:bCs w:val="false"/>
          <w:i w:val="false"/>
          <w:iCs w:val="false"/>
          <w:color w:val="141F1D"/>
          <w:sz w:val="20"/>
          <w:szCs w:val="20"/>
        </w:rPr>
        <w:t xml:space="preserve">Kindred Care Pty Ltd does not exist yet. Ownership sits on a holding line until ACU's Heads of Agreement lands, and there is no cap table and no share instrument. So there is nothing to appoint anyone to — and saying that plainly is better than a title that cannot be papered.</w:t>
      </w:r>
    </w:p>
    <w:p>
      <w:pPr>
        <w:spacing w:after="170"/>
        <w:ind w:left="0"/>
      </w:pPr>
      <w:r>
        <w:rPr>
          <w:b/>
          <w:bCs/>
          <w:i w:val="false"/>
          <w:iCs w:val="false"/>
          <w:color w:val="141F1D"/>
          <w:sz w:val="20"/>
          <w:szCs w:val="20"/>
        </w:rPr>
        <w:t xml:space="preserve">A 90-day engagement with a defined path is therefore the honest structure, not the cautious one. It also happens to be the right one: it gives her something real to do from week one using the thing only she has, and it gives both sides evidence instead of impression before anyone commits.</w:t>
      </w:r>
    </w:p>
    <w:p>
      <w:pPr>
        <w:spacing w:after="100" w:before="300"/>
      </w:pPr>
      <w:r>
        <w:rPr>
          <w:b/>
          <w:bCs/>
          <w:color w:val="141F1D"/>
          <w:sz w:val="25"/>
          <w:szCs w:val="25"/>
        </w:rPr>
        <w:t xml:space="preserve">The shape</w:t>
      </w:r>
    </w:p>
    <w:tbl>
      <w:tblPr>
        <w:tblW w:type="dxa" w:w="8300"/>
        <w:tblBorders>
          <w:top w:val="single" w:color="DBE4E1" w:sz="4"/>
          <w:left w:val="none"/>
          <w:bottom w:val="single" w:color="DBE4E1" w:sz="4"/>
          <w:right w:val="none"/>
          <w:insideH w:val="single" w:color="E7EDEB" w:sz="4"/>
          <w:insideV w:val="none"/>
        </w:tblBorders>
      </w:tblPr>
      <w:tblGrid>
        <w:gridCol w:w="1250"/>
        <w:gridCol w:w="3450"/>
        <w:gridCol w:w="2100"/>
        <w:gridCol w:w="1500"/>
      </w:tblGrid>
      <w:tr>
        <w:tc>
          <w:tcPr>
            <w:tcW w:type="dxa" w:w="1250"/>
            <w:shd w:fill="EFF4F3" w:val="clear"/>
            <w:tcMar>
              <w:top w:type="dxa" w:w="75"/>
              <w:left w:type="dxa" w:w="100"/>
              <w:bottom w:type="dxa" w:w="75"/>
              <w:right w:type="dxa" w:w="100"/>
            </w:tcMar>
          </w:tcPr>
          <w:p>
            <w:r>
              <w:rPr>
                <w:b/>
                <w:bCs/>
                <w:caps/>
                <w:color w:val="5A6B66"/>
                <w:spacing w:val="18"/>
                <w:sz w:val="15"/>
                <w:szCs w:val="15"/>
              </w:rPr>
              <w:t xml:space="preserve">Window</w:t>
            </w:r>
          </w:p>
        </w:tc>
        <w:tc>
          <w:tcPr>
            <w:tcW w:type="dxa" w:w="3450"/>
            <w:shd w:fill="EFF4F3" w:val="clear"/>
            <w:tcMar>
              <w:top w:type="dxa" w:w="75"/>
              <w:left w:type="dxa" w:w="100"/>
              <w:bottom w:type="dxa" w:w="75"/>
              <w:right w:type="dxa" w:w="100"/>
            </w:tcMar>
          </w:tcPr>
          <w:p>
            <w:r>
              <w:rPr>
                <w:b/>
                <w:bCs/>
                <w:caps/>
                <w:color w:val="5A6B66"/>
                <w:spacing w:val="18"/>
                <w:sz w:val="15"/>
                <w:szCs w:val="15"/>
              </w:rPr>
              <w:t xml:space="preserve">Focus</w:t>
            </w:r>
          </w:p>
        </w:tc>
        <w:tc>
          <w:tcPr>
            <w:tcW w:type="dxa" w:w="2100"/>
            <w:shd w:fill="EFF4F3" w:val="clear"/>
            <w:tcMar>
              <w:top w:type="dxa" w:w="75"/>
              <w:left w:type="dxa" w:w="100"/>
              <w:bottom w:type="dxa" w:w="75"/>
              <w:right w:type="dxa" w:w="100"/>
            </w:tcMar>
          </w:tcPr>
          <w:p>
            <w:r>
              <w:rPr>
                <w:b/>
                <w:bCs/>
                <w:caps/>
                <w:color w:val="5A6B66"/>
                <w:spacing w:val="18"/>
                <w:sz w:val="15"/>
                <w:szCs w:val="15"/>
              </w:rPr>
              <w:t xml:space="preserve">Output</w:t>
            </w:r>
          </w:p>
        </w:tc>
        <w:tc>
          <w:tcPr>
            <w:tcW w:type="dxa" w:w="1500"/>
            <w:shd w:fill="EFF4F3" w:val="clear"/>
            <w:tcMar>
              <w:top w:type="dxa" w:w="75"/>
              <w:left w:type="dxa" w:w="100"/>
              <w:bottom w:type="dxa" w:w="75"/>
              <w:right w:type="dxa" w:w="100"/>
            </w:tcMar>
          </w:tcPr>
          <w:p>
            <w:r>
              <w:rPr>
                <w:b/>
                <w:bCs/>
                <w:caps/>
                <w:color w:val="5A6B66"/>
                <w:spacing w:val="18"/>
                <w:sz w:val="15"/>
                <w:szCs w:val="15"/>
              </w:rPr>
              <w:t xml:space="preserve">Owner</w:t>
            </w:r>
          </w:p>
        </w:tc>
      </w:tr>
      <w:tr>
        <w:tc>
          <w:tcPr>
            <w:tcW w:type="dxa" w:w="1250"/>
            <w:tcMar>
              <w:top w:type="dxa" w:w="75"/>
              <w:left w:type="dxa" w:w="100"/>
              <w:bottom w:type="dxa" w:w="75"/>
              <w:right w:type="dxa" w:w="100"/>
            </w:tcMar>
          </w:tcPr>
          <w:p>
            <w:r>
              <w:rPr>
                <w:caps w:val="false"/>
                <w:color w:val="141F1D"/>
                <w:sz w:val="18"/>
                <w:szCs w:val="18"/>
              </w:rPr>
              <w:t xml:space="preserve">Days 1–30</w:t>
            </w:r>
          </w:p>
        </w:tc>
        <w:tc>
          <w:tcPr>
            <w:tcW w:type="dxa" w:w="3450"/>
            <w:tcMar>
              <w:top w:type="dxa" w:w="75"/>
              <w:left w:type="dxa" w:w="100"/>
              <w:bottom w:type="dxa" w:w="75"/>
              <w:right w:type="dxa" w:w="100"/>
            </w:tcMar>
          </w:tcPr>
          <w:p>
            <w:r>
              <w:rPr>
                <w:caps w:val="false"/>
                <w:color w:val="141F1D"/>
                <w:sz w:val="18"/>
                <w:szCs w:val="18"/>
              </w:rPr>
              <w:t xml:space="preserve">Map and declare — which clinical teams she can genuinely open, and on what basis</w:t>
            </w:r>
          </w:p>
        </w:tc>
        <w:tc>
          <w:tcPr>
            <w:tcW w:type="dxa" w:w="2100"/>
            <w:tcMar>
              <w:top w:type="dxa" w:w="75"/>
              <w:left w:type="dxa" w:w="100"/>
              <w:bottom w:type="dxa" w:w="75"/>
              <w:right w:type="dxa" w:w="100"/>
            </w:tcMar>
          </w:tcPr>
          <w:p>
            <w:r>
              <w:rPr>
                <w:caps w:val="false"/>
                <w:color w:val="141F1D"/>
                <w:sz w:val="18"/>
                <w:szCs w:val="18"/>
              </w:rPr>
              <w:t xml:space="preserve">Named list with her read on each</w:t>
            </w:r>
          </w:p>
        </w:tc>
        <w:tc>
          <w:tcPr>
            <w:tcW w:type="dxa" w:w="1500"/>
            <w:tcMar>
              <w:top w:type="dxa" w:w="75"/>
              <w:left w:type="dxa" w:w="100"/>
              <w:bottom w:type="dxa" w:w="75"/>
              <w:right w:type="dxa" w:w="100"/>
            </w:tcMar>
          </w:tcPr>
          <w:p>
            <w:r>
              <w:rPr>
                <w:caps w:val="false"/>
                <w:color w:val="141F1D"/>
                <w:sz w:val="18"/>
                <w:szCs w:val="18"/>
              </w:rPr>
              <w:t xml:space="preserve">Marie + Brad</w:t>
            </w:r>
          </w:p>
        </w:tc>
      </w:tr>
      <w:tr>
        <w:tc>
          <w:tcPr>
            <w:tcW w:type="dxa" w:w="1250"/>
            <w:tcMar>
              <w:top w:type="dxa" w:w="75"/>
              <w:left w:type="dxa" w:w="100"/>
              <w:bottom w:type="dxa" w:w="75"/>
              <w:right w:type="dxa" w:w="100"/>
            </w:tcMar>
          </w:tcPr>
          <w:p>
            <w:r>
              <w:rPr>
                <w:caps w:val="false"/>
                <w:color w:val="141F1D"/>
                <w:sz w:val="18"/>
                <w:szCs w:val="18"/>
              </w:rPr>
              <w:t xml:space="preserve">Days 31–60</w:t>
            </w:r>
          </w:p>
        </w:tc>
        <w:tc>
          <w:tcPr>
            <w:tcW w:type="dxa" w:w="3450"/>
            <w:tcMar>
              <w:top w:type="dxa" w:w="75"/>
              <w:left w:type="dxa" w:w="100"/>
              <w:bottom w:type="dxa" w:w="75"/>
              <w:right w:type="dxa" w:w="100"/>
            </w:tcMar>
          </w:tcPr>
          <w:p>
            <w:r>
              <w:rPr>
                <w:caps w:val="false"/>
                <w:color w:val="141F1D"/>
                <w:sz w:val="18"/>
                <w:szCs w:val="18"/>
              </w:rPr>
              <w:t xml:space="preserve">Open — introductions made, meetings held, advisory seats filled from her network</w:t>
            </w:r>
          </w:p>
        </w:tc>
        <w:tc>
          <w:tcPr>
            <w:tcW w:type="dxa" w:w="2100"/>
            <w:tcMar>
              <w:top w:type="dxa" w:w="75"/>
              <w:left w:type="dxa" w:w="100"/>
              <w:bottom w:type="dxa" w:w="75"/>
              <w:right w:type="dxa" w:w="100"/>
            </w:tcMar>
          </w:tcPr>
          <w:p>
            <w:r>
              <w:rPr>
                <w:caps w:val="false"/>
                <w:color w:val="141F1D"/>
                <w:sz w:val="18"/>
                <w:szCs w:val="18"/>
              </w:rPr>
              <w:t xml:space="preserve">Meetings in diaries; 2 committee seats</w:t>
            </w:r>
          </w:p>
        </w:tc>
        <w:tc>
          <w:tcPr>
            <w:tcW w:type="dxa" w:w="1500"/>
            <w:tcMar>
              <w:top w:type="dxa" w:w="75"/>
              <w:left w:type="dxa" w:w="100"/>
              <w:bottom w:type="dxa" w:w="75"/>
              <w:right w:type="dxa" w:w="100"/>
            </w:tcMar>
          </w:tcPr>
          <w:p>
            <w:r>
              <w:rPr>
                <w:caps w:val="false"/>
                <w:color w:val="141F1D"/>
                <w:sz w:val="18"/>
                <w:szCs w:val="18"/>
              </w:rPr>
              <w:t xml:space="preserve">Marie</w:t>
            </w:r>
          </w:p>
        </w:tc>
      </w:tr>
      <w:tr>
        <w:tc>
          <w:tcPr>
            <w:tcW w:type="dxa" w:w="1250"/>
            <w:tcMar>
              <w:top w:type="dxa" w:w="75"/>
              <w:left w:type="dxa" w:w="100"/>
              <w:bottom w:type="dxa" w:w="75"/>
              <w:right w:type="dxa" w:w="100"/>
            </w:tcMar>
          </w:tcPr>
          <w:p>
            <w:r>
              <w:rPr>
                <w:caps w:val="false"/>
                <w:color w:val="141F1D"/>
                <w:sz w:val="18"/>
                <w:szCs w:val="18"/>
              </w:rPr>
              <w:t xml:space="preserve">Days 61–90</w:t>
            </w:r>
          </w:p>
        </w:tc>
        <w:tc>
          <w:tcPr>
            <w:tcW w:type="dxa" w:w="3450"/>
            <w:tcMar>
              <w:top w:type="dxa" w:w="75"/>
              <w:left w:type="dxa" w:w="100"/>
              <w:bottom w:type="dxa" w:w="75"/>
              <w:right w:type="dxa" w:w="100"/>
            </w:tcMar>
          </w:tcPr>
          <w:p>
            <w:r>
              <w:rPr>
                <w:caps w:val="false"/>
                <w:color w:val="141F1D"/>
                <w:sz w:val="18"/>
                <w:szCs w:val="18"/>
              </w:rPr>
              <w:t xml:space="preserve">Convert — pilot site commitments, her own pipeline standing on its own</w:t>
            </w:r>
          </w:p>
        </w:tc>
        <w:tc>
          <w:tcPr>
            <w:tcW w:type="dxa" w:w="2100"/>
            <w:tcMar>
              <w:top w:type="dxa" w:w="75"/>
              <w:left w:type="dxa" w:w="100"/>
              <w:bottom w:type="dxa" w:w="75"/>
              <w:right w:type="dxa" w:w="100"/>
            </w:tcMar>
          </w:tcPr>
          <w:p>
            <w:r>
              <w:rPr>
                <w:caps w:val="false"/>
                <w:color w:val="141F1D"/>
                <w:sz w:val="18"/>
                <w:szCs w:val="18"/>
              </w:rPr>
              <w:t xml:space="preserve">A site committed; pipeline documented</w:t>
            </w:r>
          </w:p>
        </w:tc>
        <w:tc>
          <w:tcPr>
            <w:tcW w:type="dxa" w:w="1500"/>
            <w:tcMar>
              <w:top w:type="dxa" w:w="75"/>
              <w:left w:type="dxa" w:w="100"/>
              <w:bottom w:type="dxa" w:w="75"/>
              <w:right w:type="dxa" w:w="100"/>
            </w:tcMar>
          </w:tcPr>
          <w:p>
            <w:r>
              <w:rPr>
                <w:caps w:val="false"/>
                <w:color w:val="141F1D"/>
                <w:sz w:val="18"/>
                <w:szCs w:val="18"/>
              </w:rPr>
              <w:t xml:space="preserve">Marie</w:t>
            </w:r>
          </w:p>
        </w:tc>
      </w:tr>
      <w:tr>
        <w:tc>
          <w:tcPr>
            <w:tcW w:type="dxa" w:w="1250"/>
            <w:tcMar>
              <w:top w:type="dxa" w:w="75"/>
              <w:left w:type="dxa" w:w="100"/>
              <w:bottom w:type="dxa" w:w="75"/>
              <w:right w:type="dxa" w:w="100"/>
            </w:tcMar>
          </w:tcPr>
          <w:p>
            <w:r>
              <w:rPr>
                <w:caps w:val="false"/>
                <w:color w:val="141F1D"/>
                <w:sz w:val="18"/>
                <w:szCs w:val="18"/>
              </w:rPr>
              <w:t xml:space="preserve">Day 90</w:t>
            </w:r>
          </w:p>
        </w:tc>
        <w:tc>
          <w:tcPr>
            <w:tcW w:type="dxa" w:w="3450"/>
            <w:tcMar>
              <w:top w:type="dxa" w:w="75"/>
              <w:left w:type="dxa" w:w="100"/>
              <w:bottom w:type="dxa" w:w="75"/>
              <w:right w:type="dxa" w:w="100"/>
            </w:tcMar>
          </w:tcPr>
          <w:p>
            <w:r>
              <w:rPr>
                <w:caps w:val="false"/>
                <w:color w:val="141F1D"/>
                <w:sz w:val="18"/>
                <w:szCs w:val="18"/>
              </w:rPr>
              <w:t xml:space="preserve">Mutual review — both sides decide, with evidence rather than impression</w:t>
            </w:r>
          </w:p>
        </w:tc>
        <w:tc>
          <w:tcPr>
            <w:tcW w:type="dxa" w:w="2100"/>
            <w:tcMar>
              <w:top w:type="dxa" w:w="75"/>
              <w:left w:type="dxa" w:w="100"/>
              <w:bottom w:type="dxa" w:w="75"/>
              <w:right w:type="dxa" w:w="100"/>
            </w:tcMar>
          </w:tcPr>
          <w:p>
            <w:r>
              <w:rPr>
                <w:caps w:val="false"/>
                <w:color w:val="141F1D"/>
                <w:sz w:val="18"/>
                <w:szCs w:val="18"/>
              </w:rPr>
              <w:t xml:space="preserve">Role, terms and instrument agreed</w:t>
            </w:r>
          </w:p>
        </w:tc>
        <w:tc>
          <w:tcPr>
            <w:tcW w:type="dxa" w:w="1500"/>
            <w:tcMar>
              <w:top w:type="dxa" w:w="75"/>
              <w:left w:type="dxa" w:w="100"/>
              <w:bottom w:type="dxa" w:w="75"/>
              <w:right w:type="dxa" w:w="100"/>
            </w:tcMar>
          </w:tcPr>
          <w:p>
            <w:r>
              <w:rPr>
                <w:b w:val="1"/>
                <w:bCs w:val="1"/>
                <w:caps w:val="false"/>
                <w:color w:val="0F6E63"/>
                <w:sz w:val="18"/>
                <w:szCs w:val="18"/>
              </w:rPr>
              <w:t xml:space="preserve">Brad + Marie</w:t>
            </w:r>
          </w:p>
        </w:tc>
      </w:tr>
    </w:tbl>
    <w:p>
      <w:pPr>
        <w:spacing w:after="150"/>
        <w:ind w:left="431"/>
      </w:pPr>
      <w:r>
        <w:rPr>
          <w:b w:val="false"/>
          <w:bCs w:val="false"/>
          <w:i w:val="false"/>
          <w:iCs w:val="false"/>
          <w:color w:val="5A6B66"/>
          <w:sz w:val="20"/>
          <w:szCs w:val="20"/>
        </w:rPr>
        <w:t xml:space="preserve">The 90 days deliberately overlap the evidence pilot. Her job is to open the doors the pilot needs — which makes the work concrete from day one rather than abstract business development.</w:t>
      </w:r>
    </w:p>
    <w:p>
      <w:pPr>
        <w:spacing w:after="20" w:before="300"/>
      </w:pPr>
      <w:r>
        <w:rPr>
          <w:b/>
          <w:bCs/>
          <w:color w:val="141F1D"/>
          <w:sz w:val="25"/>
          <w:szCs w:val="25"/>
        </w:rPr>
        <w:t xml:space="preserve">Days 1–30 — map and declare</w:t>
      </w:r>
    </w:p>
    <w:p>
      <w:pPr>
        <w:spacing w:after="120"/>
      </w:pPr>
      <w:r>
        <w:rPr>
          <w:color w:val="0F6E63"/>
          <w:sz w:val="18"/>
          <w:szCs w:val="18"/>
        </w:rPr>
        <w:t xml:space="preserve">the part only she can do</w:t>
      </w:r>
    </w:p>
    <w:p>
      <w:pPr>
        <w:spacing w:after="85" w:before="220"/>
      </w:pPr>
      <w:r>
        <w:rPr>
          <w:b/>
          <w:bCs/>
          <w:color w:val="0F6E63"/>
          <w:sz w:val="22"/>
          <w:szCs w:val="22"/>
        </w:rPr>
        <w:t xml:space="preserve">1.  </w:t>
      </w:r>
      <w:r>
        <w:rPr>
          <w:b/>
          <w:bCs/>
          <w:color w:val="141F1D"/>
          <w:sz w:val="22"/>
          <w:szCs w:val="22"/>
        </w:rPr>
        <w:t xml:space="preserve">Which clinical teams can she genuinely open?</w:t>
      </w:r>
    </w:p>
    <w:p>
      <w:pPr>
        <w:spacing w:after="85"/>
        <w:ind w:left="431"/>
      </w:pPr>
      <w:r>
        <w:rPr>
          <w:b w:val="false"/>
          <w:bCs w:val="false"/>
          <w:i w:val="false"/>
          <w:iCs w:val="false"/>
          <w:color w:val="141F1D"/>
          <w:sz w:val="20"/>
          <w:szCs w:val="20"/>
        </w:rPr>
        <w:t xml:space="preserve">Not a wish list. A named list, with her honest read on each: who she knows, how well, what they would be receptive to, and what she would not put her name to.</w:t>
      </w:r>
    </w:p>
    <w:p>
      <w:pPr>
        <w:spacing w:after="85"/>
        <w:ind w:left="431"/>
      </w:pPr>
      <w:r>
        <w:rPr>
          <w:b/>
          <w:bCs/>
          <w:i w:val="false"/>
          <w:iCs w:val="false"/>
          <w:color w:val="141F1D"/>
          <w:sz w:val="20"/>
          <w:szCs w:val="20"/>
        </w:rPr>
        <w:t xml:space="preserve">This is her highest-value contribution on day one and nobody else in the venture can produce it.</w:t>
      </w:r>
    </w:p>
    <w:p>
      <w:pPr>
        <w:spacing w:after="85" w:before="220"/>
      </w:pPr>
      <w:r>
        <w:rPr>
          <w:b/>
          <w:bCs/>
          <w:color w:val="0F6E63"/>
          <w:sz w:val="22"/>
          <w:szCs w:val="22"/>
        </w:rPr>
        <w:t xml:space="preserve">2.  </w:t>
      </w:r>
      <w:r>
        <w:rPr>
          <w:b/>
          <w:bCs/>
          <w:color w:val="141F1D"/>
          <w:sz w:val="22"/>
          <w:szCs w:val="22"/>
        </w:rPr>
        <w:t xml:space="preserve">Declare interests before opening any door</w:t>
      </w:r>
    </w:p>
    <w:p>
      <w:pPr>
        <w:spacing w:after="85"/>
        <w:ind w:left="431"/>
      </w:pPr>
      <w:r>
        <w:rPr>
          <w:b w:val="false"/>
          <w:bCs w:val="false"/>
          <w:i w:val="false"/>
          <w:iCs w:val="false"/>
          <w:color w:val="141F1D"/>
          <w:sz w:val="20"/>
          <w:szCs w:val="20"/>
        </w:rPr>
        <w:t xml:space="preserve">Her prior-application IP, current affiliations and any commercial interests go on the conflict register at the start — not when they surface. Every prospect she opens is then recorded the same way: who introduced, what their interest is, which pathway it counts as.</w:t>
      </w:r>
    </w:p>
    <w:p>
      <w:pPr>
        <w:spacing w:after="85"/>
        <w:ind w:left="431"/>
      </w:pPr>
      <w:r>
        <w:rPr>
          <w:b w:val="false"/>
          <w:bCs w:val="false"/>
          <w:i w:val="false"/>
          <w:iCs w:val="false"/>
          <w:color w:val="5A6B66"/>
          <w:sz w:val="20"/>
          <w:szCs w:val="20"/>
        </w:rPr>
        <w:t xml:space="preserve">We have just been through this with introductions that were not recorded at the time. It is cheap to do prospectively and expensive to reconstruct.</w:t>
      </w:r>
    </w:p>
    <w:p>
      <w:pPr>
        <w:spacing w:after="85" w:before="220"/>
      </w:pPr>
      <w:r>
        <w:rPr>
          <w:b/>
          <w:bCs/>
          <w:color w:val="0F6E63"/>
          <w:sz w:val="22"/>
          <w:szCs w:val="22"/>
        </w:rPr>
        <w:t xml:space="preserve">3.  </w:t>
      </w:r>
      <w:r>
        <w:rPr>
          <w:b/>
          <w:bCs/>
          <w:color w:val="141F1D"/>
          <w:sz w:val="22"/>
          <w:szCs w:val="22"/>
        </w:rPr>
        <w:t xml:space="preserve">Ground her in the product</w:t>
      </w:r>
    </w:p>
    <w:p>
      <w:pPr>
        <w:pStyle w:val="ListParagraph"/>
        <w:numPr>
          <w:ilvl w:val="0"/>
          <w:numId w:val="2"/>
        </w:numPr>
        <w:spacing w:after="65"/>
      </w:pPr>
      <w:r>
        <w:rPr>
          <w:b w:val="false"/>
          <w:bCs w:val="false"/>
          <w:color w:val="141F1D"/>
          <w:sz w:val="20"/>
          <w:szCs w:val="20"/>
        </w:rPr>
        <w:t xml:space="preserve">The safety architecture — dual agent, unsuppressible escalation, the education-only boundary</w:t>
      </w:r>
    </w:p>
    <w:p>
      <w:pPr>
        <w:pStyle w:val="ListParagraph"/>
        <w:numPr>
          <w:ilvl w:val="0"/>
          <w:numId w:val="2"/>
        </w:numPr>
        <w:spacing w:after="65"/>
      </w:pPr>
      <w:r>
        <w:rPr>
          <w:b w:val="false"/>
          <w:bCs w:val="false"/>
          <w:color w:val="141F1D"/>
          <w:sz w:val="20"/>
          <w:szCs w:val="20"/>
        </w:rPr>
        <w:t xml:space="preserve">The language locks: the Companion, midwifery- and nurse-led, workforce and equity — never patient education</w:t>
      </w:r>
    </w:p>
    <w:p>
      <w:pPr>
        <w:pStyle w:val="ListParagraph"/>
        <w:numPr>
          <w:ilvl w:val="0"/>
          <w:numId w:val="2"/>
        </w:numPr>
        <w:spacing w:after="65"/>
      </w:pPr>
      <w:r>
        <w:rPr>
          <w:b w:val="false"/>
          <w:bCs w:val="false"/>
          <w:color w:val="141F1D"/>
          <w:sz w:val="20"/>
          <w:szCs w:val="20"/>
        </w:rPr>
        <w:t xml:space="preserve">What is measured in the pilot and why</w:t>
      </w:r>
    </w:p>
    <w:p>
      <w:pPr>
        <w:pStyle w:val="ListParagraph"/>
        <w:numPr>
          <w:ilvl w:val="0"/>
          <w:numId w:val="2"/>
        </w:numPr>
        <w:spacing w:after="65"/>
      </w:pPr>
      <w:r>
        <w:rPr>
          <w:b w:val="false"/>
          <w:bCs w:val="false"/>
          <w:color w:val="141F1D"/>
          <w:sz w:val="20"/>
          <w:szCs w:val="20"/>
        </w:rPr>
        <w:t xml:space="preserve">A seat at the advisory committee stand-up</w:t>
      </w:r>
    </w:p>
    <w:p>
      <w:pPr>
        <w:spacing w:after="100" w:before="300"/>
      </w:pPr>
      <w:r>
        <w:rPr>
          <w:b/>
          <w:bCs/>
          <w:color w:val="141F1D"/>
          <w:sz w:val="25"/>
          <w:szCs w:val="25"/>
        </w:rPr>
        <w:t xml:space="preserve">Days 31–90 — open, then convert</w:t>
      </w:r>
    </w:p>
    <w:p>
      <w:pPr>
        <w:spacing w:after="85"/>
        <w:ind w:left="431"/>
      </w:pPr>
      <w:r>
        <w:rPr>
          <w:b w:val="false"/>
          <w:bCs w:val="false"/>
          <w:i w:val="false"/>
          <w:iCs w:val="false"/>
          <w:color w:val="141F1D"/>
          <w:sz w:val="20"/>
          <w:szCs w:val="20"/>
        </w:rPr>
        <w:t xml:space="preserve">Opening: first introductions made and meetings held; she fronts or co-fronts the SCHHS maternity presentation; she fills advisory committee seats from her own network — consumer voice and cultural safety are the two gaps.</w:t>
      </w:r>
    </w:p>
    <w:p>
      <w:pPr>
        <w:spacing w:after="85"/>
        <w:ind w:left="431"/>
      </w:pPr>
      <w:r>
        <w:rPr>
          <w:b w:val="false"/>
          <w:bCs w:val="false"/>
          <w:i w:val="false"/>
          <w:iCs w:val="false"/>
          <w:color w:val="141F1D"/>
          <w:sz w:val="20"/>
          <w:szCs w:val="20"/>
        </w:rPr>
        <w:t xml:space="preserve">Converting: a pilot site committed, her pipeline standing on its own, and recruitment support for the evidence sprint.</w:t>
      </w:r>
    </w:p>
    <w:p>
      <w:pPr>
        <w:spacing w:after="85"/>
        <w:ind w:left="431"/>
      </w:pPr>
      <w:r>
        <w:rPr>
          <w:b/>
          <w:bCs/>
          <w:i w:val="false"/>
          <w:iCs w:val="false"/>
          <w:color w:val="141F1D"/>
          <w:sz w:val="20"/>
          <w:szCs w:val="20"/>
        </w:rPr>
        <w:t xml:space="preserve">What good looks like at day 90: two to three clinical teams genuinely engaged, one pilot site committed, two advisory seats filled, and a pipeline that does not depend on Brad to move.</w:t>
      </w:r>
    </w:p>
    <w:p>
      <w:pPr>
        <w:spacing w:after="100" w:before="300"/>
      </w:pPr>
      <w:r>
        <w:rPr>
          <w:b/>
          <w:bCs/>
          <w:color w:val="141F1D"/>
          <w:sz w:val="25"/>
          <w:szCs w:val="25"/>
        </w:rPr>
        <w:t xml:space="preserve">What she gets — the personal path</w:t>
      </w:r>
    </w:p>
    <w:p>
      <w:pPr>
        <w:spacing w:after="85"/>
        <w:ind w:left="431"/>
      </w:pPr>
      <w:r>
        <w:rPr>
          <w:b w:val="false"/>
          <w:bCs w:val="false"/>
          <w:i w:val="false"/>
          <w:iCs w:val="false"/>
          <w:color w:val="5A6B66"/>
          <w:sz w:val="20"/>
          <w:szCs w:val="20"/>
        </w:rPr>
        <w:t xml:space="preserve">Worth being concrete, because it is the half of the exchange that usually goes unsaid:</w:t>
      </w:r>
    </w:p>
    <w:p>
      <w:pPr>
        <w:pStyle w:val="ListParagraph"/>
        <w:numPr>
          <w:ilvl w:val="0"/>
          <w:numId w:val="2"/>
        </w:numPr>
        <w:spacing w:after="65"/>
      </w:pPr>
      <w:r>
        <w:rPr>
          <w:b w:val="false"/>
          <w:bCs w:val="false"/>
          <w:color w:val="141F1D"/>
          <w:sz w:val="20"/>
          <w:szCs w:val="20"/>
        </w:rPr>
        <w:t xml:space="preserve">A defined commercial role and instrument at day 90, once the entity exists — the trigger is ACU's Heads of Agreement, and she should know that</w:t>
      </w:r>
    </w:p>
    <w:p>
      <w:pPr>
        <w:pStyle w:val="ListParagraph"/>
        <w:numPr>
          <w:ilvl w:val="0"/>
          <w:numId w:val="2"/>
        </w:numPr>
        <w:spacing w:after="65"/>
      </w:pPr>
      <w:r>
        <w:rPr>
          <w:b w:val="false"/>
          <w:bCs w:val="false"/>
          <w:color w:val="141F1D"/>
          <w:sz w:val="20"/>
          <w:szCs w:val="20"/>
        </w:rPr>
        <w:t xml:space="preserve">Named in the venture's materials and in front of ACU, Innovation Victoria and the health services</w:t>
      </w:r>
    </w:p>
    <w:p>
      <w:pPr>
        <w:pStyle w:val="ListParagraph"/>
        <w:numPr>
          <w:ilvl w:val="0"/>
          <w:numId w:val="2"/>
        </w:numPr>
        <w:spacing w:after="65"/>
      </w:pPr>
      <w:r>
        <w:rPr>
          <w:b w:val="false"/>
          <w:bCs w:val="false"/>
          <w:color w:val="141F1D"/>
          <w:sz w:val="20"/>
          <w:szCs w:val="20"/>
        </w:rPr>
        <w:t xml:space="preserve">Academic co-authorship on the pilot outputs, with ACU — real currency for a midwife, and currently the most underused thing we offer</w:t>
      </w:r>
    </w:p>
    <w:p>
      <w:pPr>
        <w:pStyle w:val="ListParagraph"/>
        <w:numPr>
          <w:ilvl w:val="0"/>
          <w:numId w:val="2"/>
        </w:numPr>
        <w:spacing w:after="65"/>
      </w:pPr>
      <w:r>
        <w:rPr>
          <w:b w:val="false"/>
          <w:bCs w:val="false"/>
          <w:color w:val="141F1D"/>
          <w:sz w:val="20"/>
          <w:szCs w:val="20"/>
        </w:rPr>
        <w:t xml:space="preserve">A defensible professional position in AI and maternal health, early</w:t>
      </w:r>
    </w:p>
    <w:p>
      <w:pPr>
        <w:pStyle w:val="ListParagraph"/>
        <w:numPr>
          <w:ilvl w:val="0"/>
          <w:numId w:val="2"/>
        </w:numPr>
        <w:spacing w:after="65"/>
      </w:pPr>
      <w:r>
        <w:rPr>
          <w:b w:val="false"/>
          <w:bCs w:val="false"/>
          <w:color w:val="141F1D"/>
          <w:sz w:val="20"/>
          <w:szCs w:val="20"/>
        </w:rPr>
        <w:t xml:space="preserve">Direct access to ACU's Enterprise Office and midwifery discipline</w:t>
      </w:r>
    </w:p>
    <w:p>
      <w:pPr>
        <w:spacing w:after="100" w:before="300"/>
      </w:pPr>
      <w:r>
        <w:rPr>
          <w:b/>
          <w:bCs/>
          <w:color w:val="141F1D"/>
          <w:sz w:val="25"/>
          <w:szCs w:val="25"/>
        </w:rPr>
        <w:t xml:space="preserve">Three things to settle at the one-to-one</w:t>
      </w:r>
    </w:p>
    <w:p>
      <w:pPr>
        <w:spacing w:after="85" w:before="220"/>
      </w:pPr>
      <w:r>
        <w:rPr>
          <w:b/>
          <w:bCs/>
          <w:color w:val="0F6E63"/>
          <w:sz w:val="22"/>
          <w:szCs w:val="22"/>
        </w:rPr>
        <w:t xml:space="preserve">1.  </w:t>
      </w:r>
      <w:r>
        <w:rPr>
          <w:b/>
          <w:bCs/>
          <w:color w:val="141F1D"/>
          <w:sz w:val="22"/>
          <w:szCs w:val="22"/>
        </w:rPr>
        <w:t xml:space="preserve">The commercial arrangement for the 90 days</w:t>
      </w:r>
    </w:p>
    <w:p>
      <w:pPr>
        <w:spacing w:after="85"/>
        <w:ind w:left="431"/>
      </w:pPr>
      <w:r>
        <w:rPr>
          <w:b w:val="false"/>
          <w:bCs w:val="false"/>
          <w:i w:val="false"/>
          <w:iCs w:val="false"/>
          <w:color w:val="A6342B"/>
          <w:sz w:val="20"/>
          <w:szCs w:val="20"/>
        </w:rPr>
        <w:t xml:space="preserve">Paid, deferred, equity-on-incorporation, or a mix. This must be explicit before she starts, and it honestly constrains what can be asked of her. An unpaid 90 days buys goodwill, not obligation — plan the workload accordingly.</w:t>
      </w:r>
    </w:p>
    <w:p>
      <w:pPr>
        <w:spacing w:after="85" w:before="220"/>
      </w:pPr>
      <w:r>
        <w:rPr>
          <w:b/>
          <w:bCs/>
          <w:color w:val="0F6E63"/>
          <w:sz w:val="22"/>
          <w:szCs w:val="22"/>
        </w:rPr>
        <w:t xml:space="preserve">2.  </w:t>
      </w:r>
      <w:r>
        <w:rPr>
          <w:b/>
          <w:bCs/>
          <w:color w:val="141F1D"/>
          <w:sz w:val="22"/>
          <w:szCs w:val="22"/>
        </w:rPr>
        <w:t xml:space="preserve">Time commitment</w:t>
      </w:r>
    </w:p>
    <w:p>
      <w:pPr>
        <w:spacing w:after="85"/>
        <w:ind w:left="431"/>
      </w:pPr>
      <w:r>
        <w:rPr>
          <w:b w:val="false"/>
          <w:bCs w:val="false"/>
          <w:i w:val="false"/>
          <w:iCs w:val="false"/>
          <w:color w:val="141F1D"/>
          <w:sz w:val="20"/>
          <w:szCs w:val="20"/>
        </w:rPr>
        <w:t xml:space="preserve">Days per week, and whether she holds other clinical or commercial commitments that shape it.</w:t>
      </w:r>
    </w:p>
    <w:p>
      <w:pPr>
        <w:spacing w:after="85" w:before="220"/>
      </w:pPr>
      <w:r>
        <w:rPr>
          <w:b/>
          <w:bCs/>
          <w:color w:val="0F6E63"/>
          <w:sz w:val="22"/>
          <w:szCs w:val="22"/>
        </w:rPr>
        <w:t xml:space="preserve">3.  </w:t>
      </w:r>
      <w:r>
        <w:rPr>
          <w:b/>
          <w:bCs/>
          <w:color w:val="141F1D"/>
          <w:sz w:val="22"/>
          <w:szCs w:val="22"/>
        </w:rPr>
        <w:t xml:space="preserve">Prior-application IP and affiliations</w:t>
      </w:r>
    </w:p>
    <w:p>
      <w:pPr>
        <w:spacing w:after="85"/>
        <w:ind w:left="431"/>
      </w:pPr>
      <w:r>
        <w:rPr>
          <w:b w:val="false"/>
          <w:bCs w:val="false"/>
          <w:i w:val="false"/>
          <w:iCs w:val="false"/>
          <w:color w:val="141F1D"/>
          <w:sz w:val="20"/>
          <w:szCs w:val="20"/>
        </w:rPr>
        <w:t xml:space="preserve">Flagged since the Marie brief and still unresolved. Settle it here, one-to-one, before she opens a single door.</w:t>
      </w:r>
    </w:p>
    <w:p>
      <w:pPr>
        <w:pBdr>
          <w:bottom w:val="single" w:color="C6D3CF" w:sz="6"/>
        </w:pBdr>
        <w:spacing w:after="170" w:before="60"/>
      </w:pPr>
    </w:p>
    <w:p>
      <w:pPr>
        <w:spacing w:after="100" w:before="70"/>
      </w:pPr>
      <w:r>
        <w:rPr>
          <w:b/>
          <w:bCs/>
          <w:caps/>
          <w:color w:val="5A6B66"/>
          <w:spacing w:val="26"/>
          <w:sz w:val="16"/>
          <w:szCs w:val="16"/>
        </w:rPr>
        <w:t xml:space="preserve">How to open the conversation</w:t>
      </w:r>
    </w:p>
    <w:p>
      <w:pPr>
        <w:pBdr>
          <w:left w:val="single" w:color="0F6E63" w:sz="12" w:space="10"/>
        </w:pBdr>
        <w:spacing w:after="100"/>
        <w:ind w:left="431"/>
      </w:pPr>
      <w:r>
        <w:rPr>
          <w:i/>
          <w:iCs/>
          <w:color w:val="141F1D"/>
          <w:sz w:val="20"/>
          <w:szCs w:val="20"/>
        </w:rPr>
        <w:t xml:space="preserve">I can't offer you a role in a company that doesn't exist yet, and I'd rather say that than dress it up. What I can offer is ninety days of real work, a clear view of what the role becomes and what triggers it, and an honest answer at the end from both of us. The first thirty days are the part only you can do — telling me which clinical teams we can genuinely open, and which we can't.</w:t>
      </w:r>
    </w:p>
    <w:sectPr>
      <w:pgSz w:w="11906" w:h="16838" w:orient="portrait"/>
      <w:pgMar w:top="1050" w:right="1050" w:bottom="9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2026-09-01T23:51:30.856Z</dcterms:created>
  <dcterms:modified xsi:type="dcterms:W3CDTF">2026-09-01T23:51:30.857Z</dcterms:modified>
</cp:coreProperties>
</file>

<file path=docProps/custom.xml><?xml version="1.0" encoding="utf-8"?>
<Properties xmlns="http://schemas.openxmlformats.org/officeDocument/2006/custom-properties" xmlns:vt="http://schemas.openxmlformats.org/officeDocument/2006/docPropsVTypes"/>
</file>