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1F1D"/>
          <w:sz w:val="38"/>
          <w:szCs w:val="38"/>
        </w:rPr>
        <w:t xml:space="preserve">Workshop 1.2.B — Business</w:t>
      </w:r>
    </w:p>
    <w:p>
      <w:pPr>
        <w:spacing w:after="60"/>
      </w:pPr>
      <w:r>
        <w:rPr>
          <w:color w:val="0F6E63"/>
          <w:sz w:val="21"/>
          <w:szCs w:val="21"/>
        </w:rPr>
        <w:t xml:space="preserve">Kindred Care  ·  Wednesday 10:00–10:30  ·  immediately following the weekly</w:t>
      </w:r>
    </w:p>
    <w:p>
      <w:r>
        <w:rPr>
          <w:color w:val="5A6B66"/>
          <w:sz w:val="18"/>
          <w:szCs w:val="18"/>
        </w:rPr>
        <w:t xml:space="preserve">Brad · Russell Carrington · Bill Russell · Lois McKellar</w:t>
      </w:r>
    </w:p>
    <w:p>
      <w:pPr>
        <w:pBdr>
          <w:bottom w:val="single" w:color="C6D3CF" w:sz="6"/>
        </w:pBdr>
        <w:spacing w:after="170" w:before="60"/>
      </w:pPr>
    </w:p>
    <w:p>
      <w:pPr>
        <w:spacing w:after="100" w:before="70"/>
      </w:pPr>
      <w:r>
        <w:rPr>
          <w:b/>
          <w:bCs/>
          <w:caps/>
          <w:color w:val="5A6B66"/>
          <w:spacing w:val="26"/>
          <w:sz w:val="16"/>
          <w:szCs w:val="16"/>
        </w:rPr>
        <w:t xml:space="preserve">What this workshop is for</w:t>
      </w:r>
    </w:p>
    <w:p>
      <w:pPr>
        <w:spacing w:after="85"/>
        <w:ind w:left="0"/>
      </w:pPr>
      <w:r>
        <w:rPr>
          <w:b w:val="false"/>
          <w:bCs w:val="false"/>
          <w:i w:val="false"/>
          <w:iCs w:val="false"/>
          <w:color w:val="141F1D"/>
          <w:sz w:val="20"/>
          <w:szCs w:val="20"/>
        </w:rPr>
        <w:t xml:space="preserve">Russell's brief for the 1.2 series is to identify the streams needing coverage for a complete profile, feeding Enterprise Commercialisation Plan generation — and to set up the larger workshops that follow. It is a scoping session, not a decision session.</w:t>
      </w:r>
    </w:p>
    <w:p>
      <w:pPr>
        <w:spacing w:after="180"/>
        <w:ind w:left="0"/>
      </w:pPr>
      <w:r>
        <w:rPr>
          <w:b/>
          <w:bCs/>
          <w:i w:val="false"/>
          <w:iCs w:val="false"/>
          <w:color w:val="141F1D"/>
          <w:sz w:val="20"/>
          <w:szCs w:val="20"/>
        </w:rPr>
        <w:t xml:space="preserve">So the output today is a stream map with owners, not resolved content. Thirty minutes will not settle pricing and the buyer question and the plan structure. It will comfortably agree the streams and land the one that matters most.</w:t>
      </w:r>
    </w:p>
    <w:p>
      <w:pPr>
        <w:spacing w:after="90" w:before="250"/>
      </w:pPr>
      <w:r>
        <w:rPr>
          <w:b/>
          <w:bCs/>
          <w:color w:val="0F6E63"/>
          <w:sz w:val="23"/>
          <w:szCs w:val="23"/>
        </w:rPr>
        <w:t xml:space="preserve">1.  </w:t>
      </w:r>
      <w:r>
        <w:rPr>
          <w:b/>
          <w:bCs/>
          <w:color w:val="141F1D"/>
          <w:sz w:val="23"/>
          <w:szCs w:val="23"/>
        </w:rPr>
        <w:t xml:space="preserve">Proposed stream map</w:t>
      </w:r>
      <w:r>
        <w:rPr>
          <w:color w:val="5A6B66"/>
          <w:sz w:val="17"/>
          <w:szCs w:val="17"/>
        </w:rPr>
        <w:t xml:space="preserve">   12 min — the main event</w:t>
      </w:r>
    </w:p>
    <w:p>
      <w:pPr>
        <w:spacing w:after="130"/>
        <w:ind w:left="431"/>
      </w:pPr>
      <w:r>
        <w:rPr>
          <w:b w:val="false"/>
          <w:bCs w:val="false"/>
          <w:i w:val="false"/>
          <w:iCs w:val="false"/>
          <w:color w:val="5A6B66"/>
          <w:sz w:val="20"/>
          <w:szCs w:val="20"/>
        </w:rPr>
        <w:t xml:space="preserve">Ten streams for a complete commercial profile. Status is mine and open to challenge; the point is to agree the list and the owners.</w:t>
      </w:r>
    </w:p>
    <w:tbl>
      <w:tblPr>
        <w:tblW w:type="dxa" w:w="8300"/>
        <w:tblBorders>
          <w:top w:val="single" w:color="DBE4E1" w:sz="4"/>
          <w:left w:val="none"/>
          <w:bottom w:val="single" w:color="DBE4E1" w:sz="4"/>
          <w:right w:val="none"/>
          <w:insideH w:val="single" w:color="E7EDEB" w:sz="4"/>
          <w:insideV w:val="none"/>
        </w:tblBorders>
      </w:tblPr>
      <w:tblGrid>
        <w:gridCol w:w="400"/>
        <w:gridCol w:w="2450"/>
        <w:gridCol w:w="2600"/>
        <w:gridCol w:w="1450"/>
        <w:gridCol w:w="1400"/>
      </w:tblGrid>
      <w:tr>
        <w:tc>
          <w:tcPr>
            <w:tcW w:type="dxa" w:w="400"/>
            <w:shd w:fill="EFF4F3" w:val="clear"/>
            <w:tcMar>
              <w:top w:type="dxa" w:w="75"/>
              <w:left w:type="dxa" w:w="100"/>
              <w:bottom w:type="dxa" w:w="75"/>
              <w:right w:type="dxa" w:w="100"/>
            </w:tcMar>
          </w:tcPr>
          <w:p>
            <w:r>
              <w:rPr>
                <w:b/>
                <w:bCs/>
                <w:caps/>
                <w:color w:val="5A6B66"/>
                <w:spacing w:val="18"/>
                <w:sz w:val="15"/>
                <w:szCs w:val="15"/>
              </w:rPr>
              <w:t xml:space="preserve">#</w:t>
            </w:r>
          </w:p>
        </w:tc>
        <w:tc>
          <w:tcPr>
            <w:tcW w:type="dxa" w:w="2450"/>
            <w:shd w:fill="EFF4F3" w:val="clear"/>
            <w:tcMar>
              <w:top w:type="dxa" w:w="75"/>
              <w:left w:type="dxa" w:w="100"/>
              <w:bottom w:type="dxa" w:w="75"/>
              <w:right w:type="dxa" w:w="100"/>
            </w:tcMar>
          </w:tcPr>
          <w:p>
            <w:r>
              <w:rPr>
                <w:b/>
                <w:bCs/>
                <w:caps/>
                <w:color w:val="5A6B66"/>
                <w:spacing w:val="18"/>
                <w:sz w:val="15"/>
                <w:szCs w:val="15"/>
              </w:rPr>
              <w:t xml:space="preserve">Stream</w:t>
            </w:r>
          </w:p>
        </w:tc>
        <w:tc>
          <w:tcPr>
            <w:tcW w:type="dxa" w:w="2600"/>
            <w:shd w:fill="EFF4F3" w:val="clear"/>
            <w:tcMar>
              <w:top w:type="dxa" w:w="75"/>
              <w:left w:type="dxa" w:w="100"/>
              <w:bottom w:type="dxa" w:w="75"/>
              <w:right w:type="dxa" w:w="100"/>
            </w:tcMar>
          </w:tcPr>
          <w:p>
            <w:r>
              <w:rPr>
                <w:b/>
                <w:bCs/>
                <w:caps/>
                <w:color w:val="5A6B66"/>
                <w:spacing w:val="18"/>
                <w:sz w:val="15"/>
                <w:szCs w:val="15"/>
              </w:rPr>
              <w:t xml:space="preserve">What it covers</w:t>
            </w:r>
          </w:p>
        </w:tc>
        <w:tc>
          <w:tcPr>
            <w:tcW w:type="dxa" w:w="1450"/>
            <w:shd w:fill="EFF4F3" w:val="clear"/>
            <w:tcMar>
              <w:top w:type="dxa" w:w="75"/>
              <w:left w:type="dxa" w:w="100"/>
              <w:bottom w:type="dxa" w:w="75"/>
              <w:right w:type="dxa" w:w="100"/>
            </w:tcMar>
          </w:tcPr>
          <w:p>
            <w:r>
              <w:rPr>
                <w:b/>
                <w:bCs/>
                <w:caps/>
                <w:color w:val="5A6B66"/>
                <w:spacing w:val="18"/>
                <w:sz w:val="15"/>
                <w:szCs w:val="15"/>
              </w:rPr>
              <w:t xml:space="preserve">Status</w:t>
            </w:r>
          </w:p>
        </w:tc>
        <w:tc>
          <w:tcPr>
            <w:tcW w:type="dxa" w:w="1400"/>
            <w:shd w:fill="EFF4F3" w:val="clear"/>
            <w:tcMar>
              <w:top w:type="dxa" w:w="75"/>
              <w:left w:type="dxa" w:w="100"/>
              <w:bottom w:type="dxa" w:w="75"/>
              <w:right w:type="dxa" w:w="100"/>
            </w:tcMar>
          </w:tcPr>
          <w:p>
            <w:r>
              <w:rPr>
                <w:b/>
                <w:bCs/>
                <w:caps/>
                <w:color w:val="5A6B66"/>
                <w:spacing w:val="18"/>
                <w:sz w:val="15"/>
                <w:szCs w:val="15"/>
              </w:rPr>
              <w:t xml:space="preserve">Owner</w:t>
            </w:r>
          </w:p>
        </w:tc>
      </w:tr>
      <w:tr>
        <w:tc>
          <w:tcPr>
            <w:tcW w:type="dxa" w:w="400"/>
            <w:tcMar>
              <w:top w:type="dxa" w:w="75"/>
              <w:left w:type="dxa" w:w="100"/>
              <w:bottom w:type="dxa" w:w="75"/>
              <w:right w:type="dxa" w:w="100"/>
            </w:tcMar>
          </w:tcPr>
          <w:p>
            <w:r>
              <w:rPr>
                <w:caps w:val="false"/>
                <w:color w:val="141F1D"/>
                <w:sz w:val="18"/>
                <w:szCs w:val="18"/>
              </w:rPr>
              <w:t xml:space="preserve">1</w:t>
            </w:r>
          </w:p>
        </w:tc>
        <w:tc>
          <w:tcPr>
            <w:tcW w:type="dxa" w:w="2450"/>
            <w:tcMar>
              <w:top w:type="dxa" w:w="75"/>
              <w:left w:type="dxa" w:w="100"/>
              <w:bottom w:type="dxa" w:w="75"/>
              <w:right w:type="dxa" w:w="100"/>
            </w:tcMar>
          </w:tcPr>
          <w:p>
            <w:r>
              <w:rPr>
                <w:caps w:val="false"/>
                <w:color w:val="141F1D"/>
                <w:sz w:val="18"/>
                <w:szCs w:val="18"/>
              </w:rPr>
              <w:t xml:space="preserve">Market and demand</w:t>
            </w:r>
          </w:p>
        </w:tc>
        <w:tc>
          <w:tcPr>
            <w:tcW w:type="dxa" w:w="2600"/>
            <w:tcMar>
              <w:top w:type="dxa" w:w="75"/>
              <w:left w:type="dxa" w:w="100"/>
              <w:bottom w:type="dxa" w:w="75"/>
              <w:right w:type="dxa" w:w="100"/>
            </w:tcMar>
          </w:tcPr>
          <w:p>
            <w:r>
              <w:rPr>
                <w:caps w:val="false"/>
                <w:color w:val="141F1D"/>
                <w:sz w:val="18"/>
                <w:szCs w:val="18"/>
              </w:rPr>
              <w:t xml:space="preserve">Pull is real at every level of the profession; evidence of use is not</w:t>
            </w:r>
          </w:p>
        </w:tc>
        <w:tc>
          <w:tcPr>
            <w:tcW w:type="dxa" w:w="1450"/>
            <w:tcMar>
              <w:top w:type="dxa" w:w="75"/>
              <w:left w:type="dxa" w:w="100"/>
              <w:bottom w:type="dxa" w:w="75"/>
              <w:right w:type="dxa" w:w="100"/>
            </w:tcMar>
          </w:tcPr>
          <w:p>
            <w:r>
              <w:rPr>
                <w:b w:val="1"/>
                <w:bCs w:val="1"/>
                <w:caps w:val="false"/>
                <w:color w:val="2C6E4A"/>
                <w:sz w:val="18"/>
                <w:szCs w:val="18"/>
              </w:rPr>
              <w:t xml:space="preserve">STRONG</w:t>
            </w:r>
          </w:p>
        </w:tc>
        <w:tc>
          <w:tcPr>
            <w:tcW w:type="dxa" w:w="1400"/>
            <w:tcMar>
              <w:top w:type="dxa" w:w="75"/>
              <w:left w:type="dxa" w:w="100"/>
              <w:bottom w:type="dxa" w:w="75"/>
              <w:right w:type="dxa" w:w="100"/>
            </w:tcMar>
          </w:tcPr>
          <w:p>
            <w:r>
              <w:rPr>
                <w:caps w:val="false"/>
                <w:color w:val="141F1D"/>
                <w:sz w:val="18"/>
                <w:szCs w:val="18"/>
              </w:rPr>
              <w:t xml:space="preserve">Brad</w:t>
            </w:r>
          </w:p>
        </w:tc>
      </w:tr>
      <w:tr>
        <w:tc>
          <w:tcPr>
            <w:tcW w:type="dxa" w:w="400"/>
            <w:tcMar>
              <w:top w:type="dxa" w:w="75"/>
              <w:left w:type="dxa" w:w="100"/>
              <w:bottom w:type="dxa" w:w="75"/>
              <w:right w:type="dxa" w:w="100"/>
            </w:tcMar>
          </w:tcPr>
          <w:p>
            <w:r>
              <w:rPr>
                <w:caps w:val="false"/>
                <w:color w:val="141F1D"/>
                <w:sz w:val="18"/>
                <w:szCs w:val="18"/>
              </w:rPr>
              <w:t xml:space="preserve">2</w:t>
            </w:r>
          </w:p>
        </w:tc>
        <w:tc>
          <w:tcPr>
            <w:tcW w:type="dxa" w:w="2450"/>
            <w:tcMar>
              <w:top w:type="dxa" w:w="75"/>
              <w:left w:type="dxa" w:w="100"/>
              <w:bottom w:type="dxa" w:w="75"/>
              <w:right w:type="dxa" w:w="100"/>
            </w:tcMar>
          </w:tcPr>
          <w:p>
            <w:r>
              <w:rPr>
                <w:caps w:val="false"/>
                <w:color w:val="141F1D"/>
                <w:sz w:val="18"/>
                <w:szCs w:val="18"/>
              </w:rPr>
              <w:t xml:space="preserve">Positioning and category</w:t>
            </w:r>
          </w:p>
        </w:tc>
        <w:tc>
          <w:tcPr>
            <w:tcW w:type="dxa" w:w="2600"/>
            <w:tcMar>
              <w:top w:type="dxa" w:w="75"/>
              <w:left w:type="dxa" w:w="100"/>
              <w:bottom w:type="dxa" w:w="75"/>
              <w:right w:type="dxa" w:w="100"/>
            </w:tcMar>
          </w:tcPr>
          <w:p>
            <w:r>
              <w:rPr>
                <w:caps w:val="false"/>
                <w:color w:val="141F1D"/>
                <w:sz w:val="18"/>
                <w:szCs w:val="18"/>
              </w:rPr>
              <w:t xml:space="preserve">Workforce and equity, never patient education — this sets the price ceiling</w:t>
            </w:r>
          </w:p>
        </w:tc>
        <w:tc>
          <w:tcPr>
            <w:tcW w:type="dxa" w:w="1450"/>
            <w:tcMar>
              <w:top w:type="dxa" w:w="75"/>
              <w:left w:type="dxa" w:w="100"/>
              <w:bottom w:type="dxa" w:w="75"/>
              <w:right w:type="dxa" w:w="100"/>
            </w:tcMar>
          </w:tcPr>
          <w:p>
            <w:r>
              <w:rPr>
                <w:b w:val="1"/>
                <w:bCs w:val="1"/>
                <w:caps w:val="false"/>
                <w:color w:val="2C6E4A"/>
                <w:sz w:val="18"/>
                <w:szCs w:val="18"/>
              </w:rPr>
              <w:t xml:space="preserve">DECIDED</w:t>
            </w:r>
          </w:p>
        </w:tc>
        <w:tc>
          <w:tcPr>
            <w:tcW w:type="dxa" w:w="1400"/>
            <w:tcMar>
              <w:top w:type="dxa" w:w="75"/>
              <w:left w:type="dxa" w:w="100"/>
              <w:bottom w:type="dxa" w:w="75"/>
              <w:right w:type="dxa" w:w="100"/>
            </w:tcMar>
          </w:tcPr>
          <w:p>
            <w:r>
              <w:rPr>
                <w:caps w:val="false"/>
                <w:color w:val="141F1D"/>
                <w:sz w:val="18"/>
                <w:szCs w:val="18"/>
              </w:rPr>
              <w:t xml:space="preserve">Brad</w:t>
            </w:r>
          </w:p>
        </w:tc>
      </w:tr>
      <w:tr>
        <w:tc>
          <w:tcPr>
            <w:tcW w:type="dxa" w:w="400"/>
            <w:tcMar>
              <w:top w:type="dxa" w:w="75"/>
              <w:left w:type="dxa" w:w="100"/>
              <w:bottom w:type="dxa" w:w="75"/>
              <w:right w:type="dxa" w:w="100"/>
            </w:tcMar>
          </w:tcPr>
          <w:p>
            <w:r>
              <w:rPr>
                <w:caps w:val="false"/>
                <w:color w:val="141F1D"/>
                <w:sz w:val="18"/>
                <w:szCs w:val="18"/>
              </w:rPr>
              <w:t xml:space="preserve">3</w:t>
            </w:r>
          </w:p>
        </w:tc>
        <w:tc>
          <w:tcPr>
            <w:tcW w:type="dxa" w:w="2450"/>
            <w:tcMar>
              <w:top w:type="dxa" w:w="75"/>
              <w:left w:type="dxa" w:w="100"/>
              <w:bottom w:type="dxa" w:w="75"/>
              <w:right w:type="dxa" w:w="100"/>
            </w:tcMar>
          </w:tcPr>
          <w:p>
            <w:r>
              <w:rPr>
                <w:caps w:val="false"/>
                <w:color w:val="141F1D"/>
                <w:sz w:val="18"/>
                <w:szCs w:val="18"/>
              </w:rPr>
              <w:t xml:space="preserve">Pricing and unit economics</w:t>
            </w:r>
          </w:p>
        </w:tc>
        <w:tc>
          <w:tcPr>
            <w:tcW w:type="dxa" w:w="2600"/>
            <w:tcMar>
              <w:top w:type="dxa" w:w="75"/>
              <w:left w:type="dxa" w:w="100"/>
              <w:bottom w:type="dxa" w:w="75"/>
              <w:right w:type="dxa" w:w="100"/>
            </w:tcMar>
          </w:tcPr>
          <w:p>
            <w:r>
              <w:rPr>
                <w:caps w:val="false"/>
                <w:color w:val="141F1D"/>
                <w:sz w:val="18"/>
                <w:szCs w:val="18"/>
              </w:rPr>
              <w:t xml:space="preserve">Schedule canonical; unit cost resolved; Enterprise tier needs an inclusion cap</w:t>
            </w:r>
          </w:p>
        </w:tc>
        <w:tc>
          <w:tcPr>
            <w:tcW w:type="dxa" w:w="1450"/>
            <w:tcMar>
              <w:top w:type="dxa" w:w="75"/>
              <w:left w:type="dxa" w:w="100"/>
              <w:bottom w:type="dxa" w:w="75"/>
              <w:right w:type="dxa" w:w="100"/>
            </w:tcMar>
          </w:tcPr>
          <w:p>
            <w:r>
              <w:rPr>
                <w:b w:val="1"/>
                <w:bCs w:val="1"/>
                <w:caps w:val="false"/>
                <w:color w:val="2C6E4A"/>
                <w:sz w:val="18"/>
                <w:szCs w:val="18"/>
              </w:rPr>
              <w:t xml:space="preserve">READY</w:t>
            </w:r>
          </w:p>
        </w:tc>
        <w:tc>
          <w:tcPr>
            <w:tcW w:type="dxa" w:w="1400"/>
            <w:tcMar>
              <w:top w:type="dxa" w:w="75"/>
              <w:left w:type="dxa" w:w="100"/>
              <w:bottom w:type="dxa" w:w="75"/>
              <w:right w:type="dxa" w:w="100"/>
            </w:tcMar>
          </w:tcPr>
          <w:p>
            <w:r>
              <w:rPr>
                <w:caps w:val="false"/>
                <w:color w:val="141F1D"/>
                <w:sz w:val="18"/>
                <w:szCs w:val="18"/>
              </w:rPr>
              <w:t xml:space="preserve">Brad + Hector</w:t>
            </w:r>
          </w:p>
        </w:tc>
      </w:tr>
      <w:tr>
        <w:tc>
          <w:tcPr>
            <w:tcW w:type="dxa" w:w="400"/>
            <w:tcMar>
              <w:top w:type="dxa" w:w="75"/>
              <w:left w:type="dxa" w:w="100"/>
              <w:bottom w:type="dxa" w:w="75"/>
              <w:right w:type="dxa" w:w="100"/>
            </w:tcMar>
          </w:tcPr>
          <w:p>
            <w:r>
              <w:rPr>
                <w:caps w:val="false"/>
                <w:color w:val="141F1D"/>
                <w:sz w:val="18"/>
                <w:szCs w:val="18"/>
              </w:rPr>
              <w:t xml:space="preserve">4</w:t>
            </w:r>
          </w:p>
        </w:tc>
        <w:tc>
          <w:tcPr>
            <w:tcW w:type="dxa" w:w="2450"/>
            <w:tcMar>
              <w:top w:type="dxa" w:w="75"/>
              <w:left w:type="dxa" w:w="100"/>
              <w:bottom w:type="dxa" w:w="75"/>
              <w:right w:type="dxa" w:w="100"/>
            </w:tcMar>
          </w:tcPr>
          <w:p>
            <w:r>
              <w:rPr>
                <w:caps w:val="false"/>
                <w:color w:val="141F1D"/>
                <w:sz w:val="18"/>
                <w:szCs w:val="18"/>
              </w:rPr>
              <w:t xml:space="preserve">Route to market</w:t>
            </w:r>
          </w:p>
        </w:tc>
        <w:tc>
          <w:tcPr>
            <w:tcW w:type="dxa" w:w="2600"/>
            <w:tcMar>
              <w:top w:type="dxa" w:w="75"/>
              <w:left w:type="dxa" w:w="100"/>
              <w:bottom w:type="dxa" w:w="75"/>
              <w:right w:type="dxa" w:w="100"/>
            </w:tcMar>
          </w:tcPr>
          <w:p>
            <w:r>
              <w:rPr>
                <w:caps w:val="false"/>
                <w:color w:val="141F1D"/>
                <w:sz w:val="18"/>
                <w:szCs w:val="18"/>
              </w:rPr>
              <w:t xml:space="preserve">Who introduces, who buys, and through which procurement pathway</w:t>
            </w:r>
          </w:p>
        </w:tc>
        <w:tc>
          <w:tcPr>
            <w:tcW w:type="dxa" w:w="1450"/>
            <w:tcMar>
              <w:top w:type="dxa" w:w="75"/>
              <w:left w:type="dxa" w:w="100"/>
              <w:bottom w:type="dxa" w:w="75"/>
              <w:right w:type="dxa" w:w="100"/>
            </w:tcMar>
          </w:tcPr>
          <w:p>
            <w:r>
              <w:rPr>
                <w:b w:val="1"/>
                <w:bCs w:val="1"/>
                <w:caps w:val="false"/>
                <w:color w:val="A6342B"/>
                <w:sz w:val="18"/>
                <w:szCs w:val="18"/>
              </w:rPr>
              <w:t xml:space="preserve">GAP</w:t>
            </w:r>
          </w:p>
        </w:tc>
        <w:tc>
          <w:tcPr>
            <w:tcW w:type="dxa" w:w="1400"/>
            <w:tcMar>
              <w:top w:type="dxa" w:w="75"/>
              <w:left w:type="dxa" w:w="100"/>
              <w:bottom w:type="dxa" w:w="75"/>
              <w:right w:type="dxa" w:w="100"/>
            </w:tcMar>
          </w:tcPr>
          <w:p>
            <w:r>
              <w:rPr>
                <w:caps w:val="false"/>
                <w:color w:val="141F1D"/>
                <w:sz w:val="18"/>
                <w:szCs w:val="18"/>
              </w:rPr>
              <w:t xml:space="preserve">Brad + Lois</w:t>
            </w:r>
          </w:p>
        </w:tc>
      </w:tr>
      <w:tr>
        <w:tc>
          <w:tcPr>
            <w:tcW w:type="dxa" w:w="400"/>
            <w:tcMar>
              <w:top w:type="dxa" w:w="75"/>
              <w:left w:type="dxa" w:w="100"/>
              <w:bottom w:type="dxa" w:w="75"/>
              <w:right w:type="dxa" w:w="100"/>
            </w:tcMar>
          </w:tcPr>
          <w:p>
            <w:r>
              <w:rPr>
                <w:caps w:val="false"/>
                <w:color w:val="141F1D"/>
                <w:sz w:val="18"/>
                <w:szCs w:val="18"/>
              </w:rPr>
              <w:t xml:space="preserve">5</w:t>
            </w:r>
          </w:p>
        </w:tc>
        <w:tc>
          <w:tcPr>
            <w:tcW w:type="dxa" w:w="2450"/>
            <w:tcMar>
              <w:top w:type="dxa" w:w="75"/>
              <w:left w:type="dxa" w:w="100"/>
              <w:bottom w:type="dxa" w:w="75"/>
              <w:right w:type="dxa" w:w="100"/>
            </w:tcMar>
          </w:tcPr>
          <w:p>
            <w:r>
              <w:rPr>
                <w:caps w:val="false"/>
                <w:color w:val="141F1D"/>
                <w:sz w:val="18"/>
                <w:szCs w:val="18"/>
              </w:rPr>
              <w:t xml:space="preserve">Revenue model and forecast</w:t>
            </w:r>
          </w:p>
        </w:tc>
        <w:tc>
          <w:tcPr>
            <w:tcW w:type="dxa" w:w="2600"/>
            <w:tcMar>
              <w:top w:type="dxa" w:w="75"/>
              <w:left w:type="dxa" w:w="100"/>
              <w:bottom w:type="dxa" w:w="75"/>
              <w:right w:type="dxa" w:w="100"/>
            </w:tcMar>
          </w:tcPr>
          <w:p>
            <w:r>
              <w:rPr>
                <w:caps w:val="false"/>
                <w:color w:val="141F1D"/>
                <w:sz w:val="18"/>
                <w:szCs w:val="18"/>
              </w:rPr>
              <w:t xml:space="preserve">Two priced streams sit outside the forecast; no downside case is carried</w:t>
            </w:r>
          </w:p>
        </w:tc>
        <w:tc>
          <w:tcPr>
            <w:tcW w:type="dxa" w:w="1450"/>
            <w:tcMar>
              <w:top w:type="dxa" w:w="75"/>
              <w:left w:type="dxa" w:w="100"/>
              <w:bottom w:type="dxa" w:w="75"/>
              <w:right w:type="dxa" w:w="100"/>
            </w:tcMar>
          </w:tcPr>
          <w:p>
            <w:r>
              <w:rPr>
                <w:b w:val="1"/>
                <w:bCs w:val="1"/>
                <w:caps w:val="false"/>
                <w:color w:val="A6342B"/>
                <w:sz w:val="18"/>
                <w:szCs w:val="18"/>
              </w:rPr>
              <w:t xml:space="preserve">GAP</w:t>
            </w:r>
          </w:p>
        </w:tc>
        <w:tc>
          <w:tcPr>
            <w:tcW w:type="dxa" w:w="1400"/>
            <w:tcMar>
              <w:top w:type="dxa" w:w="75"/>
              <w:left w:type="dxa" w:w="100"/>
              <w:bottom w:type="dxa" w:w="75"/>
              <w:right w:type="dxa" w:w="100"/>
            </w:tcMar>
          </w:tcPr>
          <w:p>
            <w:r>
              <w:rPr>
                <w:caps w:val="false"/>
                <w:color w:val="141F1D"/>
                <w:sz w:val="18"/>
                <w:szCs w:val="18"/>
              </w:rPr>
              <w:t xml:space="preserve">Brad + CFO</w:t>
            </w:r>
          </w:p>
        </w:tc>
      </w:tr>
      <w:tr>
        <w:tc>
          <w:tcPr>
            <w:tcW w:type="dxa" w:w="400"/>
            <w:tcMar>
              <w:top w:type="dxa" w:w="75"/>
              <w:left w:type="dxa" w:w="100"/>
              <w:bottom w:type="dxa" w:w="75"/>
              <w:right w:type="dxa" w:w="100"/>
            </w:tcMar>
          </w:tcPr>
          <w:p>
            <w:r>
              <w:rPr>
                <w:caps w:val="false"/>
                <w:color w:val="141F1D"/>
                <w:sz w:val="18"/>
                <w:szCs w:val="18"/>
              </w:rPr>
              <w:t xml:space="preserve">6</w:t>
            </w:r>
          </w:p>
        </w:tc>
        <w:tc>
          <w:tcPr>
            <w:tcW w:type="dxa" w:w="2450"/>
            <w:tcMar>
              <w:top w:type="dxa" w:w="75"/>
              <w:left w:type="dxa" w:w="100"/>
              <w:bottom w:type="dxa" w:w="75"/>
              <w:right w:type="dxa" w:w="100"/>
            </w:tcMar>
          </w:tcPr>
          <w:p>
            <w:r>
              <w:rPr>
                <w:caps w:val="false"/>
                <w:color w:val="141F1D"/>
                <w:sz w:val="18"/>
                <w:szCs w:val="18"/>
              </w:rPr>
              <w:t xml:space="preserve">Funding and capital</w:t>
            </w:r>
          </w:p>
        </w:tc>
        <w:tc>
          <w:tcPr>
            <w:tcW w:type="dxa" w:w="2600"/>
            <w:tcMar>
              <w:top w:type="dxa" w:w="75"/>
              <w:left w:type="dxa" w:w="100"/>
              <w:bottom w:type="dxa" w:w="75"/>
              <w:right w:type="dxa" w:w="100"/>
            </w:tcMar>
          </w:tcPr>
          <w:p>
            <w:r>
              <w:rPr>
                <w:caps w:val="false"/>
                <w:color w:val="141F1D"/>
                <w:sz w:val="18"/>
                <w:szCs w:val="18"/>
              </w:rPr>
              <w:t xml:space="preserve">BVUIP structure confirmed; ACU's $650k source open 61 days</w:t>
            </w:r>
          </w:p>
        </w:tc>
        <w:tc>
          <w:tcPr>
            <w:tcW w:type="dxa" w:w="1450"/>
            <w:tcMar>
              <w:top w:type="dxa" w:w="75"/>
              <w:left w:type="dxa" w:w="100"/>
              <w:bottom w:type="dxa" w:w="75"/>
              <w:right w:type="dxa" w:w="100"/>
            </w:tcMar>
          </w:tcPr>
          <w:p>
            <w:r>
              <w:rPr>
                <w:b w:val="1"/>
                <w:bCs w:val="1"/>
                <w:caps w:val="false"/>
                <w:color w:val="A6342B"/>
                <w:sz w:val="18"/>
                <w:szCs w:val="18"/>
              </w:rPr>
              <w:t xml:space="preserve">BLOCKED</w:t>
            </w:r>
          </w:p>
        </w:tc>
        <w:tc>
          <w:tcPr>
            <w:tcW w:type="dxa" w:w="1400"/>
            <w:tcMar>
              <w:top w:type="dxa" w:w="75"/>
              <w:left w:type="dxa" w:w="100"/>
              <w:bottom w:type="dxa" w:w="75"/>
              <w:right w:type="dxa" w:w="100"/>
            </w:tcMar>
          </w:tcPr>
          <w:p>
            <w:r>
              <w:rPr>
                <w:caps w:val="false"/>
                <w:color w:val="141F1D"/>
                <w:sz w:val="18"/>
                <w:szCs w:val="18"/>
              </w:rPr>
              <w:t xml:space="preserve">Russell + Bill</w:t>
            </w:r>
          </w:p>
        </w:tc>
      </w:tr>
      <w:tr>
        <w:tc>
          <w:tcPr>
            <w:tcW w:type="dxa" w:w="400"/>
            <w:tcMar>
              <w:top w:type="dxa" w:w="75"/>
              <w:left w:type="dxa" w:w="100"/>
              <w:bottom w:type="dxa" w:w="75"/>
              <w:right w:type="dxa" w:w="100"/>
            </w:tcMar>
          </w:tcPr>
          <w:p>
            <w:r>
              <w:rPr>
                <w:caps w:val="false"/>
                <w:color w:val="141F1D"/>
                <w:sz w:val="18"/>
                <w:szCs w:val="18"/>
              </w:rPr>
              <w:t xml:space="preserve">7</w:t>
            </w:r>
          </w:p>
        </w:tc>
        <w:tc>
          <w:tcPr>
            <w:tcW w:type="dxa" w:w="2450"/>
            <w:tcMar>
              <w:top w:type="dxa" w:w="75"/>
              <w:left w:type="dxa" w:w="100"/>
              <w:bottom w:type="dxa" w:w="75"/>
              <w:right w:type="dxa" w:w="100"/>
            </w:tcMar>
          </w:tcPr>
          <w:p>
            <w:r>
              <w:rPr>
                <w:caps w:val="false"/>
                <w:color w:val="141F1D"/>
                <w:sz w:val="18"/>
                <w:szCs w:val="18"/>
              </w:rPr>
              <w:t xml:space="preserve">Entity, ownership, IP terms</w:t>
            </w:r>
          </w:p>
        </w:tc>
        <w:tc>
          <w:tcPr>
            <w:tcW w:type="dxa" w:w="2600"/>
            <w:tcMar>
              <w:top w:type="dxa" w:w="75"/>
              <w:left w:type="dxa" w:w="100"/>
              <w:bottom w:type="dxa" w:w="75"/>
              <w:right w:type="dxa" w:w="100"/>
            </w:tcMar>
          </w:tcPr>
          <w:p>
            <w:r>
              <w:rPr>
                <w:caps w:val="false"/>
                <w:color w:val="141F1D"/>
                <w:sz w:val="18"/>
                <w:szCs w:val="18"/>
              </w:rPr>
              <w:t xml:space="preserve">Holding line until ACU's Heads of Agreement lands</w:t>
            </w:r>
          </w:p>
        </w:tc>
        <w:tc>
          <w:tcPr>
            <w:tcW w:type="dxa" w:w="1450"/>
            <w:tcMar>
              <w:top w:type="dxa" w:w="75"/>
              <w:left w:type="dxa" w:w="100"/>
              <w:bottom w:type="dxa" w:w="75"/>
              <w:right w:type="dxa" w:w="100"/>
            </w:tcMar>
          </w:tcPr>
          <w:p>
            <w:r>
              <w:rPr>
                <w:b w:val="1"/>
                <w:bCs w:val="1"/>
                <w:caps w:val="false"/>
                <w:color w:val="A6342B"/>
                <w:sz w:val="18"/>
                <w:szCs w:val="18"/>
              </w:rPr>
              <w:t xml:space="preserve">BLOCKED</w:t>
            </w:r>
          </w:p>
        </w:tc>
        <w:tc>
          <w:tcPr>
            <w:tcW w:type="dxa" w:w="1400"/>
            <w:tcMar>
              <w:top w:type="dxa" w:w="75"/>
              <w:left w:type="dxa" w:w="100"/>
              <w:bottom w:type="dxa" w:w="75"/>
              <w:right w:type="dxa" w:w="100"/>
            </w:tcMar>
          </w:tcPr>
          <w:p>
            <w:r>
              <w:rPr>
                <w:caps w:val="false"/>
                <w:color w:val="141F1D"/>
                <w:sz w:val="18"/>
                <w:szCs w:val="18"/>
              </w:rPr>
              <w:t xml:space="preserve">Russell</w:t>
            </w:r>
          </w:p>
        </w:tc>
      </w:tr>
      <w:tr>
        <w:tc>
          <w:tcPr>
            <w:tcW w:type="dxa" w:w="400"/>
            <w:tcMar>
              <w:top w:type="dxa" w:w="75"/>
              <w:left w:type="dxa" w:w="100"/>
              <w:bottom w:type="dxa" w:w="75"/>
              <w:right w:type="dxa" w:w="100"/>
            </w:tcMar>
          </w:tcPr>
          <w:p>
            <w:r>
              <w:rPr>
                <w:caps w:val="false"/>
                <w:color w:val="141F1D"/>
                <w:sz w:val="18"/>
                <w:szCs w:val="18"/>
              </w:rPr>
              <w:t xml:space="preserve">8</w:t>
            </w:r>
          </w:p>
        </w:tc>
        <w:tc>
          <w:tcPr>
            <w:tcW w:type="dxa" w:w="2450"/>
            <w:tcMar>
              <w:top w:type="dxa" w:w="75"/>
              <w:left w:type="dxa" w:w="100"/>
              <w:bottom w:type="dxa" w:w="75"/>
              <w:right w:type="dxa" w:w="100"/>
            </w:tcMar>
          </w:tcPr>
          <w:p>
            <w:r>
              <w:rPr>
                <w:caps w:val="false"/>
                <w:color w:val="141F1D"/>
                <w:sz w:val="18"/>
                <w:szCs w:val="18"/>
              </w:rPr>
              <w:t xml:space="preserve">Partnerships and channel</w:t>
            </w:r>
          </w:p>
        </w:tc>
        <w:tc>
          <w:tcPr>
            <w:tcW w:type="dxa" w:w="2600"/>
            <w:tcMar>
              <w:top w:type="dxa" w:w="75"/>
              <w:left w:type="dxa" w:w="100"/>
              <w:bottom w:type="dxa" w:w="75"/>
              <w:right w:type="dxa" w:w="100"/>
            </w:tcMar>
          </w:tcPr>
          <w:p>
            <w:r>
              <w:rPr>
                <w:caps w:val="false"/>
                <w:color w:val="141F1D"/>
                <w:sz w:val="18"/>
                <w:szCs w:val="18"/>
              </w:rPr>
              <w:t xml:space="preserve">ACM warm; two chief midwives engaged; foundation conversation live</w:t>
            </w:r>
          </w:p>
        </w:tc>
        <w:tc>
          <w:tcPr>
            <w:tcW w:type="dxa" w:w="1450"/>
            <w:tcMar>
              <w:top w:type="dxa" w:w="75"/>
              <w:left w:type="dxa" w:w="100"/>
              <w:bottom w:type="dxa" w:w="75"/>
              <w:right w:type="dxa" w:w="100"/>
            </w:tcMar>
          </w:tcPr>
          <w:p>
            <w:r>
              <w:rPr>
                <w:b w:val="1"/>
                <w:bCs w:val="1"/>
                <w:caps w:val="false"/>
                <w:color w:val="96650E"/>
                <w:sz w:val="18"/>
                <w:szCs w:val="18"/>
              </w:rPr>
              <w:t xml:space="preserve">MOVING</w:t>
            </w:r>
          </w:p>
        </w:tc>
        <w:tc>
          <w:tcPr>
            <w:tcW w:type="dxa" w:w="1400"/>
            <w:tcMar>
              <w:top w:type="dxa" w:w="75"/>
              <w:left w:type="dxa" w:w="100"/>
              <w:bottom w:type="dxa" w:w="75"/>
              <w:right w:type="dxa" w:w="100"/>
            </w:tcMar>
          </w:tcPr>
          <w:p>
            <w:r>
              <w:rPr>
                <w:caps w:val="false"/>
                <w:color w:val="141F1D"/>
                <w:sz w:val="18"/>
                <w:szCs w:val="18"/>
              </w:rPr>
              <w:t xml:space="preserve">Brad + Lois</w:t>
            </w:r>
          </w:p>
        </w:tc>
      </w:tr>
      <w:tr>
        <w:tc>
          <w:tcPr>
            <w:tcW w:type="dxa" w:w="400"/>
            <w:tcMar>
              <w:top w:type="dxa" w:w="75"/>
              <w:left w:type="dxa" w:w="100"/>
              <w:bottom w:type="dxa" w:w="75"/>
              <w:right w:type="dxa" w:w="100"/>
            </w:tcMar>
          </w:tcPr>
          <w:p>
            <w:r>
              <w:rPr>
                <w:caps w:val="false"/>
                <w:color w:val="141F1D"/>
                <w:sz w:val="18"/>
                <w:szCs w:val="18"/>
              </w:rPr>
              <w:t xml:space="preserve">9</w:t>
            </w:r>
          </w:p>
        </w:tc>
        <w:tc>
          <w:tcPr>
            <w:tcW w:type="dxa" w:w="2450"/>
            <w:tcMar>
              <w:top w:type="dxa" w:w="75"/>
              <w:left w:type="dxa" w:w="100"/>
              <w:bottom w:type="dxa" w:w="75"/>
              <w:right w:type="dxa" w:w="100"/>
            </w:tcMar>
          </w:tcPr>
          <w:p>
            <w:r>
              <w:rPr>
                <w:caps w:val="false"/>
                <w:color w:val="141F1D"/>
                <w:sz w:val="18"/>
                <w:szCs w:val="18"/>
              </w:rPr>
              <w:t xml:space="preserve">Procurement and assurance</w:t>
            </w:r>
          </w:p>
        </w:tc>
        <w:tc>
          <w:tcPr>
            <w:tcW w:type="dxa" w:w="2600"/>
            <w:tcMar>
              <w:top w:type="dxa" w:w="75"/>
              <w:left w:type="dxa" w:w="100"/>
              <w:bottom w:type="dxa" w:w="75"/>
              <w:right w:type="dxa" w:w="100"/>
            </w:tcMar>
          </w:tcPr>
          <w:p>
            <w:r>
              <w:rPr>
                <w:caps w:val="false"/>
                <w:color w:val="141F1D"/>
                <w:sz w:val="18"/>
                <w:szCs w:val="18"/>
              </w:rPr>
              <w:t xml:space="preserve">VPDSS, ISO 27001/42001, data residency — commercial gates, not IT items</w:t>
            </w:r>
          </w:p>
        </w:tc>
        <w:tc>
          <w:tcPr>
            <w:tcW w:type="dxa" w:w="1450"/>
            <w:tcMar>
              <w:top w:type="dxa" w:w="75"/>
              <w:left w:type="dxa" w:w="100"/>
              <w:bottom w:type="dxa" w:w="75"/>
              <w:right w:type="dxa" w:w="100"/>
            </w:tcMar>
          </w:tcPr>
          <w:p>
            <w:r>
              <w:rPr>
                <w:b w:val="1"/>
                <w:bCs w:val="1"/>
                <w:caps w:val="false"/>
                <w:color w:val="96650E"/>
                <w:sz w:val="18"/>
                <w:szCs w:val="18"/>
              </w:rPr>
              <w:t xml:space="preserve">SCOPED</w:t>
            </w:r>
          </w:p>
        </w:tc>
        <w:tc>
          <w:tcPr>
            <w:tcW w:type="dxa" w:w="1400"/>
            <w:tcMar>
              <w:top w:type="dxa" w:w="75"/>
              <w:left w:type="dxa" w:w="100"/>
              <w:bottom w:type="dxa" w:w="75"/>
              <w:right w:type="dxa" w:w="100"/>
            </w:tcMar>
          </w:tcPr>
          <w:p>
            <w:r>
              <w:rPr>
                <w:caps w:val="false"/>
                <w:color w:val="141F1D"/>
                <w:sz w:val="18"/>
                <w:szCs w:val="18"/>
              </w:rPr>
              <w:t xml:space="preserve">Brad</w:t>
            </w:r>
          </w:p>
        </w:tc>
      </w:tr>
      <w:tr>
        <w:tc>
          <w:tcPr>
            <w:tcW w:type="dxa" w:w="400"/>
            <w:tcMar>
              <w:top w:type="dxa" w:w="75"/>
              <w:left w:type="dxa" w:w="100"/>
              <w:bottom w:type="dxa" w:w="75"/>
              <w:right w:type="dxa" w:w="100"/>
            </w:tcMar>
          </w:tcPr>
          <w:p>
            <w:r>
              <w:rPr>
                <w:caps w:val="false"/>
                <w:color w:val="141F1D"/>
                <w:sz w:val="18"/>
                <w:szCs w:val="18"/>
              </w:rPr>
              <w:t xml:space="preserve">10</w:t>
            </w:r>
          </w:p>
        </w:tc>
        <w:tc>
          <w:tcPr>
            <w:tcW w:type="dxa" w:w="2450"/>
            <w:tcMar>
              <w:top w:type="dxa" w:w="75"/>
              <w:left w:type="dxa" w:w="100"/>
              <w:bottom w:type="dxa" w:w="75"/>
              <w:right w:type="dxa" w:w="100"/>
            </w:tcMar>
          </w:tcPr>
          <w:p>
            <w:r>
              <w:rPr>
                <w:caps w:val="false"/>
                <w:color w:val="141F1D"/>
                <w:sz w:val="18"/>
                <w:szCs w:val="18"/>
              </w:rPr>
              <w:t xml:space="preserve">Team and capability</w:t>
            </w:r>
          </w:p>
        </w:tc>
        <w:tc>
          <w:tcPr>
            <w:tcW w:type="dxa" w:w="2600"/>
            <w:tcMar>
              <w:top w:type="dxa" w:w="75"/>
              <w:left w:type="dxa" w:w="100"/>
              <w:bottom w:type="dxa" w:w="75"/>
              <w:right w:type="dxa" w:w="100"/>
            </w:tcMar>
          </w:tcPr>
          <w:p>
            <w:r>
              <w:rPr>
                <w:caps w:val="false"/>
                <w:color w:val="141F1D"/>
                <w:sz w:val="18"/>
                <w:szCs w:val="18"/>
              </w:rPr>
              <w:t xml:space="preserve">Throughput is the constraint; Marie's scope is the fix</w:t>
            </w:r>
          </w:p>
        </w:tc>
        <w:tc>
          <w:tcPr>
            <w:tcW w:type="dxa" w:w="1450"/>
            <w:tcMar>
              <w:top w:type="dxa" w:w="75"/>
              <w:left w:type="dxa" w:w="100"/>
              <w:bottom w:type="dxa" w:w="75"/>
              <w:right w:type="dxa" w:w="100"/>
            </w:tcMar>
          </w:tcPr>
          <w:p>
            <w:r>
              <w:rPr>
                <w:b w:val="1"/>
                <w:bCs w:val="1"/>
                <w:caps w:val="false"/>
                <w:color w:val="96650E"/>
                <w:sz w:val="18"/>
                <w:szCs w:val="18"/>
              </w:rPr>
              <w:t xml:space="preserve">OPEN</w:t>
            </w:r>
          </w:p>
        </w:tc>
        <w:tc>
          <w:tcPr>
            <w:tcW w:type="dxa" w:w="1400"/>
            <w:tcMar>
              <w:top w:type="dxa" w:w="75"/>
              <w:left w:type="dxa" w:w="100"/>
              <w:bottom w:type="dxa" w:w="75"/>
              <w:right w:type="dxa" w:w="100"/>
            </w:tcMar>
          </w:tcPr>
          <w:p>
            <w:r>
              <w:rPr>
                <w:caps w:val="false"/>
                <w:color w:val="141F1D"/>
                <w:sz w:val="18"/>
                <w:szCs w:val="18"/>
              </w:rPr>
              <w:t xml:space="preserve">Brad + Lois</w:t>
            </w:r>
          </w:p>
        </w:tc>
      </w:tr>
    </w:tbl>
    <w:p>
      <w:pPr>
        <w:spacing w:after="150"/>
        <w:ind w:left="431"/>
      </w:pPr>
      <w:r>
        <w:rPr>
          <w:b w:val="false"/>
          <w:bCs w:val="false"/>
          <w:i w:val="false"/>
          <w:iCs w:val="false"/>
          <w:color w:val="5A6B66"/>
          <w:sz w:val="20"/>
          <w:szCs w:val="20"/>
        </w:rPr>
        <w:t xml:space="preserve">Four are strong, three are gaps, two are blocked on ACU, one is open. The two blocked ones are the same two blockers from the weekly — they are not only governance items, they are commercial streams that cannot be written.</w:t>
      </w:r>
    </w:p>
    <w:p>
      <w:pPr>
        <w:spacing w:after="90" w:before="250"/>
      </w:pPr>
      <w:r>
        <w:rPr>
          <w:b/>
          <w:bCs/>
          <w:color w:val="0F6E63"/>
          <w:sz w:val="23"/>
          <w:szCs w:val="23"/>
        </w:rPr>
        <w:t xml:space="preserve">2.  </w:t>
      </w:r>
      <w:r>
        <w:rPr>
          <w:b/>
          <w:bCs/>
          <w:color w:val="141F1D"/>
          <w:sz w:val="23"/>
          <w:szCs w:val="23"/>
        </w:rPr>
        <w:t xml:space="preserve">The gap that matters most</w:t>
      </w:r>
      <w:r>
        <w:rPr>
          <w:color w:val="5A6B66"/>
          <w:sz w:val="17"/>
          <w:szCs w:val="17"/>
        </w:rPr>
        <w:t xml:space="preserve">   10 min</w:t>
      </w:r>
    </w:p>
    <w:p>
      <w:pPr>
        <w:spacing w:after="85"/>
        <w:ind w:left="431"/>
      </w:pPr>
      <w:r>
        <w:rPr>
          <w:b/>
          <w:bCs/>
          <w:i w:val="false"/>
          <w:iCs w:val="false"/>
          <w:color w:val="141F1D"/>
          <w:sz w:val="20"/>
          <w:szCs w:val="20"/>
        </w:rPr>
        <w:t xml:space="preserve">Which budget does a health service actually buy this from?</w:t>
      </w:r>
    </w:p>
    <w:p>
      <w:pPr>
        <w:pBdr>
          <w:left w:val="single" w:color="0F6E63" w:sz="12" w:space="10"/>
        </w:pBdr>
        <w:spacing w:after="100"/>
        <w:ind w:left="431"/>
      </w:pPr>
      <w:r>
        <w:rPr>
          <w:i/>
          <w:iCs/>
          <w:color w:val="141F1D"/>
          <w:sz w:val="20"/>
          <w:szCs w:val="20"/>
        </w:rPr>
        <w:t xml:space="preserve">There is no patient-education budget line in an Australian public health service. If a CFO files us there, we are compared to free pregnancy apps and cut in the first tight year. Workforce capacity and equity of access do have budget lines — and they are the Maternity Taskforce's own words. So this is not a messaging choice. It sets our price ceiling.</w:t>
      </w:r>
    </w:p>
    <w:p>
      <w:pPr>
        <w:spacing w:after="85"/>
        <w:ind w:left="431"/>
      </w:pPr>
      <w:r>
        <w:rPr>
          <w:b/>
          <w:bCs/>
          <w:i w:val="false"/>
          <w:iCs w:val="false"/>
          <w:color w:val="141F1D"/>
          <w:sz w:val="20"/>
          <w:szCs w:val="20"/>
        </w:rPr>
        <w:t xml:space="preserve">What I want from ACU: your read on where this gets paid from, and who actually signs.</w:t>
      </w:r>
    </w:p>
    <w:p>
      <w:pPr>
        <w:spacing w:after="85"/>
        <w:ind w:left="431"/>
      </w:pPr>
      <w:r>
        <w:rPr>
          <w:b w:val="false"/>
          <w:bCs w:val="false"/>
          <w:i w:val="false"/>
          <w:iCs w:val="false"/>
          <w:color w:val="141F1D"/>
          <w:sz w:val="20"/>
          <w:szCs w:val="20"/>
        </w:rPr>
        <w:t xml:space="preserve">And the question underneath it, for Lois: can regional Victorian services contract as a network rather than one at a time? Thirty-three of Victoria's fifty-two providers are regional and small. Our fixed cost per site is high enough that serving them individually is hard at any price they would accept. If they can buy as a group, regional opens. If they cannot, the model needs rethinking.</w:t>
      </w:r>
    </w:p>
    <w:p>
      <w:pPr>
        <w:spacing w:after="90" w:before="250"/>
      </w:pPr>
      <w:r>
        <w:rPr>
          <w:b/>
          <w:bCs/>
          <w:color w:val="0F6E63"/>
          <w:sz w:val="23"/>
          <w:szCs w:val="23"/>
        </w:rPr>
        <w:t xml:space="preserve">3.  </w:t>
      </w:r>
      <w:r>
        <w:rPr>
          <w:b/>
          <w:bCs/>
          <w:color w:val="141F1D"/>
          <w:sz w:val="23"/>
          <w:szCs w:val="23"/>
        </w:rPr>
        <w:t xml:space="preserve">Pricing — endorsement, not debate</w:t>
      </w:r>
      <w:r>
        <w:rPr>
          <w:color w:val="5A6B66"/>
          <w:sz w:val="17"/>
          <w:szCs w:val="17"/>
        </w:rPr>
        <w:t xml:space="preserve">   5 min</w:t>
      </w:r>
    </w:p>
    <w:p>
      <w:pPr>
        <w:spacing w:after="85"/>
        <w:ind w:left="431"/>
      </w:pPr>
      <w:r>
        <w:rPr>
          <w:b w:val="false"/>
          <w:bCs w:val="false"/>
          <w:i w:val="false"/>
          <w:iCs w:val="false"/>
          <w:color w:val="141F1D"/>
          <w:sz w:val="20"/>
          <w:szCs w:val="20"/>
        </w:rPr>
        <w:t xml:space="preserve">Position resolved and circulated: $28k / $48k / $72k / $95k, banded by births per year with included-mother caps. New $18,000 entry tier at 150 mothers as the pilot on-ramp. Enterprise runs at 6% gross margin and negative once platform support is loaded — it needs an inclusion cap with per-mother overage.</w:t>
      </w:r>
    </w:p>
    <w:p>
      <w:pPr>
        <w:spacing w:after="85"/>
        <w:ind w:left="431"/>
      </w:pPr>
      <w:r>
        <w:rPr>
          <w:b/>
          <w:bCs/>
          <w:i w:val="false"/>
          <w:iCs w:val="false"/>
          <w:color w:val="141F1D"/>
          <w:sz w:val="20"/>
          <w:szCs w:val="20"/>
        </w:rPr>
        <w:t xml:space="preserve">Ask: endorsement to make this the single schedule and retire the Business Plan's list. If there is disagreement, take it offline rather than spend the workshop on it.</w:t>
      </w:r>
    </w:p>
    <w:p>
      <w:pPr>
        <w:spacing w:after="90" w:before="250"/>
      </w:pPr>
      <w:r>
        <w:rPr>
          <w:b/>
          <w:bCs/>
          <w:color w:val="0F6E63"/>
          <w:sz w:val="23"/>
          <w:szCs w:val="23"/>
        </w:rPr>
        <w:t xml:space="preserve">4.  </w:t>
      </w:r>
      <w:r>
        <w:rPr>
          <w:b/>
          <w:bCs/>
          <w:color w:val="141F1D"/>
          <w:sz w:val="23"/>
          <w:szCs w:val="23"/>
        </w:rPr>
        <w:t xml:space="preserve">Close</w:t>
      </w:r>
      <w:r>
        <w:rPr>
          <w:color w:val="5A6B66"/>
          <w:sz w:val="17"/>
          <w:szCs w:val="17"/>
        </w:rPr>
        <w:t xml:space="preserve">   3 min</w:t>
      </w:r>
    </w:p>
    <w:p>
      <w:pPr>
        <w:pStyle w:val="ListParagraph"/>
        <w:numPr>
          <w:ilvl w:val="0"/>
          <w:numId w:val="2"/>
        </w:numPr>
        <w:spacing w:after="65"/>
      </w:pPr>
      <w:r>
        <w:rPr>
          <w:b w:val="false"/>
          <w:bCs w:val="false"/>
          <w:color w:val="141F1D"/>
          <w:sz w:val="20"/>
          <w:szCs w:val="20"/>
        </w:rPr>
        <w:t xml:space="preserve">Agree the stream list and the owners</w:t>
      </w:r>
    </w:p>
    <w:p>
      <w:pPr>
        <w:pStyle w:val="ListParagraph"/>
        <w:numPr>
          <w:ilvl w:val="0"/>
          <w:numId w:val="2"/>
        </w:numPr>
        <w:spacing w:after="65"/>
      </w:pPr>
      <w:r>
        <w:rPr>
          <w:b w:val="false"/>
          <w:bCs w:val="false"/>
          <w:color w:val="141F1D"/>
          <w:sz w:val="20"/>
          <w:szCs w:val="20"/>
        </w:rPr>
        <w:t xml:space="preserve">Agree which streams the larger follow-on workshops cover first</w:t>
      </w:r>
    </w:p>
    <w:p>
      <w:pPr>
        <w:pStyle w:val="ListParagraph"/>
        <w:numPr>
          <w:ilvl w:val="0"/>
          <w:numId w:val="2"/>
        </w:numPr>
        <w:spacing w:after="65"/>
      </w:pPr>
      <w:r>
        <w:rPr>
          <w:b w:val="false"/>
          <w:bCs w:val="false"/>
          <w:color w:val="141F1D"/>
          <w:sz w:val="20"/>
          <w:szCs w:val="20"/>
        </w:rPr>
        <w:t xml:space="preserve">Confirm what feeds the 16 Sept Steering Committee</w:t>
      </w:r>
    </w:p>
    <w:p>
      <w:pPr>
        <w:pBdr>
          <w:bottom w:val="single" w:color="C6D3CF" w:sz="6"/>
        </w:pBdr>
        <w:spacing w:after="170" w:before="60"/>
      </w:pPr>
    </w:p>
    <w:p>
      <w:pPr>
        <w:spacing w:after="100" w:before="70"/>
      </w:pPr>
      <w:r>
        <w:rPr>
          <w:b/>
          <w:bCs/>
          <w:caps/>
          <w:color w:val="5A6B66"/>
          <w:spacing w:val="26"/>
          <w:sz w:val="16"/>
          <w:szCs w:val="16"/>
        </w:rPr>
        <w:t xml:space="preserve">Talking points worth having ready</w:t>
      </w:r>
    </w:p>
    <w:p>
      <w:pPr>
        <w:spacing w:after="85"/>
        <w:ind w:left="0"/>
      </w:pPr>
      <w:r>
        <w:rPr>
          <w:b/>
          <w:bCs/>
          <w:i w:val="false"/>
          <w:iCs w:val="false"/>
          <w:color w:val="141F1D"/>
          <w:sz w:val="20"/>
          <w:szCs w:val="20"/>
        </w:rPr>
        <w:t xml:space="preserve">On demand — the reframe that changes the read:</w:t>
      </w:r>
    </w:p>
    <w:p>
      <w:pPr>
        <w:pBdr>
          <w:left w:val="single" w:color="0F6E63" w:sz="12" w:space="10"/>
        </w:pBdr>
        <w:spacing w:after="100"/>
        <w:ind w:left="431"/>
      </w:pPr>
      <w:r>
        <w:rPr>
          <w:i/>
          <w:iCs/>
          <w:color w:val="141F1D"/>
          <w:sz w:val="20"/>
          <w:szCs w:val="20"/>
        </w:rPr>
        <w:t xml:space="preserve">We have pull at every level of the profession — a national college, two chief midwives, a health service's maternity leadership, a health foundation, four regional services. What we have not had is the capacity to convert it. That is a throughput story, not a demand story.</w:t>
      </w:r>
    </w:p>
    <w:p>
      <w:pPr>
        <w:spacing w:after="85"/>
        <w:ind w:left="0"/>
      </w:pPr>
      <w:r>
        <w:rPr>
          <w:b/>
          <w:bCs/>
          <w:i w:val="false"/>
          <w:iCs w:val="false"/>
          <w:color w:val="141F1D"/>
          <w:sz w:val="20"/>
          <w:szCs w:val="20"/>
        </w:rPr>
        <w:t xml:space="preserve">On route to market — say it plainly, it is the business of this workshop:</w:t>
      </w:r>
    </w:p>
    <w:p>
      <w:pPr>
        <w:pBdr>
          <w:left w:val="single" w:color="0F6E63" w:sz="12" w:space="10"/>
        </w:pBdr>
        <w:spacing w:after="100"/>
        <w:ind w:left="431"/>
      </w:pPr>
      <w:r>
        <w:rPr>
          <w:i/>
          <w:iCs/>
          <w:color w:val="141F1D"/>
          <w:sz w:val="20"/>
          <w:szCs w:val="20"/>
        </w:rPr>
        <w:t xml:space="preserve">ACU gives us academic credibility and national access to the profession. Victorian service relationships are coming from elsewhere. The plan should say that rather than claim a channel we do not have — it is stronger written accurately.</w:t>
      </w:r>
    </w:p>
    <w:p>
      <w:pPr>
        <w:spacing w:after="85"/>
        <w:ind w:left="0"/>
      </w:pPr>
      <w:r>
        <w:rPr>
          <w:b/>
          <w:bCs/>
          <w:i w:val="false"/>
          <w:iCs w:val="false"/>
          <w:color w:val="141F1D"/>
          <w:sz w:val="20"/>
          <w:szCs w:val="20"/>
        </w:rPr>
        <w:t xml:space="preserve">On what we are actually asking investment for:</w:t>
      </w:r>
    </w:p>
    <w:p>
      <w:pPr>
        <w:pBdr>
          <w:left w:val="single" w:color="0F6E63" w:sz="12" w:space="10"/>
        </w:pBdr>
        <w:spacing w:after="100"/>
        <w:ind w:left="431"/>
      </w:pPr>
      <w:r>
        <w:rPr>
          <w:i/>
          <w:iCs/>
          <w:color w:val="141F1D"/>
          <w:sz w:val="20"/>
          <w:szCs w:val="20"/>
        </w:rPr>
        <w:t xml:space="preserve">The build lands before UCAC. So we are not asking anyone to fund a product. We are asking them to fund the evidence that it works and the capacity to convert demand we can already demonstrate.</w:t>
      </w:r>
    </w:p>
    <w:p>
      <w:pPr>
        <w:pBdr>
          <w:bottom w:val="single" w:color="C6D3CF" w:sz="6"/>
        </w:pBdr>
        <w:spacing w:after="170" w:before="60"/>
      </w:pPr>
    </w:p>
    <w:p>
      <w:pPr>
        <w:spacing w:after="100" w:before="70"/>
      </w:pPr>
      <w:r>
        <w:rPr>
          <w:b/>
          <w:bCs/>
          <w:caps/>
          <w:color w:val="5A6B66"/>
          <w:spacing w:val="26"/>
          <w:sz w:val="16"/>
          <w:szCs w:val="16"/>
        </w:rPr>
        <w:t xml:space="preserve">Hold back</w:t>
      </w:r>
    </w:p>
    <w:p>
      <w:pPr>
        <w:spacing w:after="85"/>
        <w:ind w:left="0"/>
      </w:pPr>
      <w:r>
        <w:rPr>
          <w:b w:val="false"/>
          <w:bCs w:val="false"/>
          <w:i w:val="false"/>
          <w:iCs w:val="false"/>
          <w:color w:val="5A6B66"/>
          <w:sz w:val="20"/>
          <w:szCs w:val="20"/>
        </w:rPr>
        <w:t xml:space="preserve">D-23 and the evals sequencing are R&amp;D workshop items. The Ged channel detail is a Russell one-to-one — in this room, keep route-to-market at the level of the stream, not the individual introductions.</w:t>
      </w:r>
    </w:p>
    <w:sectPr>
      <w:pgSz w:w="11906" w:h="16838" w:orient="portrait"/>
      <w:pgMar w:top="1050" w:right="1050" w:bottom="95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1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2026-09-01T23:31:20.884Z</dcterms:created>
  <dcterms:modified xsi:type="dcterms:W3CDTF">2026-09-01T23:31:20.885Z</dcterms:modified>
</cp:coreProperties>
</file>

<file path=docProps/custom.xml><?xml version="1.0" encoding="utf-8"?>
<Properties xmlns="http://schemas.openxmlformats.org/officeDocument/2006/custom-properties" xmlns:vt="http://schemas.openxmlformats.org/officeDocument/2006/docPropsVTypes"/>
</file>