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41F1D"/>
          <w:sz w:val="38"/>
          <w:szCs w:val="38"/>
        </w:rPr>
        <w:t xml:space="preserve">Workshop 1.2.R&amp;D</w:t>
      </w:r>
    </w:p>
    <w:p>
      <w:pPr>
        <w:spacing w:after="60"/>
      </w:pPr>
      <w:r>
        <w:rPr>
          <w:color w:val="0F6E63"/>
          <w:sz w:val="21"/>
          <w:szCs w:val="21"/>
        </w:rPr>
        <w:t xml:space="preserve">Kindred Care  ·  Thursday 11:00–11:45  ·  internal product development leaders</w:t>
      </w:r>
    </w:p>
    <w:p>
      <w:r>
        <w:rPr>
          <w:color w:val="5A6B66"/>
          <w:sz w:val="18"/>
          <w:szCs w:val="18"/>
        </w:rPr>
        <w:t xml:space="preserve">Brad · Lois McKellar · Bill Russell · Russell Carrington (on leave — see note)</w:t>
      </w:r>
    </w:p>
    <w:p>
      <w:pPr>
        <w:pBdr>
          <w:bottom w:val="single" w:color="C6D3CF" w:sz="6"/>
        </w:pBdr>
        <w:spacing w:after="170" w:before="60"/>
      </w:pPr>
    </w:p>
    <w:p>
      <w:pPr>
        <w:spacing w:after="150"/>
        <w:ind w:left="0"/>
      </w:pPr>
      <w:r>
        <w:rPr>
          <w:b w:val="false"/>
          <w:bCs w:val="false"/>
          <w:i w:val="false"/>
          <w:iCs w:val="false"/>
          <w:color w:val="5A6B66"/>
          <w:sz w:val="20"/>
          <w:szCs w:val="20"/>
        </w:rPr>
        <w:t xml:space="preserve">Note on attendance: Russell is on leave from today. If he cannot make it, run it anyway — Lois is the person who matters most for all three items, and postponing costs a week we do not have.</w:t>
      </w:r>
    </w:p>
    <w:p>
      <w:pPr>
        <w:spacing w:after="100" w:before="70"/>
      </w:pPr>
      <w:r>
        <w:rPr>
          <w:b/>
          <w:bCs/>
          <w:caps/>
          <w:color w:val="5A6B66"/>
          <w:spacing w:val="26"/>
          <w:sz w:val="16"/>
          <w:szCs w:val="16"/>
        </w:rPr>
        <w:t xml:space="preserve">The through-line</w:t>
      </w:r>
    </w:p>
    <w:p>
      <w:pPr>
        <w:spacing w:after="180"/>
        <w:ind w:left="0"/>
      </w:pPr>
      <w:r>
        <w:rPr>
          <w:b w:val="false"/>
          <w:bCs w:val="false"/>
          <w:i w:val="false"/>
          <w:iCs w:val="false"/>
          <w:color w:val="141F1D"/>
          <w:sz w:val="20"/>
          <w:szCs w:val="20"/>
        </w:rPr>
        <w:t xml:space="preserve">These three items are one system, not three topics. The advisory committee approves the content; the content is the RAG corpus; corpus quality is what recall@5 measures; recall@5 is the TRL 4 claim. And the first research program is what turns all of it into evidence. Standing up the committee is therefore not governance housekeeping — it is the product's content pipeline and its readiness claim.</w:t>
      </w:r>
    </w:p>
    <w:p>
      <w:pPr>
        <w:spacing w:after="90" w:before="250"/>
      </w:pPr>
      <w:r>
        <w:rPr>
          <w:b/>
          <w:bCs/>
          <w:color w:val="0F6E63"/>
          <w:sz w:val="23"/>
          <w:szCs w:val="23"/>
        </w:rPr>
        <w:t xml:space="preserve">1.  </w:t>
      </w:r>
      <w:r>
        <w:rPr>
          <w:b/>
          <w:bCs/>
          <w:color w:val="141F1D"/>
          <w:sz w:val="23"/>
          <w:szCs w:val="23"/>
        </w:rPr>
        <w:t xml:space="preserve">The first research program, and the ethics pathway</w:t>
      </w:r>
      <w:r>
        <w:rPr>
          <w:color w:val="5A6B66"/>
          <w:sz w:val="17"/>
          <w:szCs w:val="17"/>
        </w:rPr>
        <w:t xml:space="preserve">   15 min</w:t>
      </w:r>
    </w:p>
    <w:p>
      <w:pPr>
        <w:spacing w:after="85"/>
        <w:ind w:left="431"/>
      </w:pPr>
      <w:r>
        <w:rPr>
          <w:b w:val="false"/>
          <w:bCs w:val="false"/>
          <w:i w:val="false"/>
          <w:iCs w:val="false"/>
          <w:color w:val="141F1D"/>
          <w:sz w:val="20"/>
          <w:szCs w:val="20"/>
        </w:rPr>
        <w:t xml:space="preserve">Ethics is the one item between here and evidence that cannot be compressed, and it is already an out-of-loop blocker on the build board (ADR-008 k-values, S9e copy). Starting it is this week's job.</w:t>
      </w:r>
    </w:p>
    <w:p>
      <w:pPr>
        <w:spacing w:after="85"/>
        <w:ind w:left="431"/>
      </w:pPr>
      <w:r>
        <w:rPr>
          <w:b/>
          <w:bCs/>
          <w:i w:val="false"/>
          <w:iCs w:val="false"/>
          <w:color w:val="141F1D"/>
          <w:sz w:val="20"/>
          <w:szCs w:val="20"/>
        </w:rPr>
        <w:t xml:space="preserve">But there is a fork to settle before anyone writes an application, because it changes the pathway and the timeline:</w:t>
      </w:r>
    </w:p>
    <w:p>
      <w:pPr>
        <w:pStyle w:val="ListParagraph"/>
        <w:numPr>
          <w:ilvl w:val="0"/>
          <w:numId w:val="2"/>
        </w:numPr>
        <w:spacing w:after="65"/>
      </w:pPr>
      <w:r>
        <w:rPr>
          <w:b w:val="false"/>
          <w:bCs w:val="false"/>
          <w:color w:val="141F1D"/>
          <w:sz w:val="20"/>
          <w:szCs w:val="20"/>
        </w:rPr>
        <w:t xml:space="preserve">Is the first program a service evaluation run with the health service, or research?</w:t>
      </w:r>
    </w:p>
    <w:p>
      <w:pPr>
        <w:pStyle w:val="ListParagraph"/>
        <w:numPr>
          <w:ilvl w:val="0"/>
          <w:numId w:val="2"/>
        </w:numPr>
        <w:spacing w:after="65"/>
      </w:pPr>
      <w:r>
        <w:rPr>
          <w:b w:val="false"/>
          <w:bCs w:val="false"/>
          <w:color w:val="141F1D"/>
          <w:sz w:val="20"/>
          <w:szCs w:val="20"/>
        </w:rPr>
        <w:t xml:space="preserve">Does the same data feed PhD Paper 5, or are they deliberately separated?</w:t>
      </w:r>
    </w:p>
    <w:p>
      <w:pPr>
        <w:spacing w:after="85"/>
        <w:ind w:left="431"/>
      </w:pPr>
      <w:r>
        <w:rPr>
          <w:b w:val="false"/>
          <w:bCs w:val="false"/>
          <w:i w:val="false"/>
          <w:iCs w:val="false"/>
          <w:color w:val="141F1D"/>
          <w:sz w:val="20"/>
          <w:szCs w:val="20"/>
        </w:rPr>
        <w:t xml:space="preserve">A quality-assurance or service-evaluation framing often carries a materially lighter and faster pathway than full HREC research. If Paper 5 draws on the same transcripts it is research, and the heavier pathway applies to everything. Separating them may be the difference between weeks and months.</w:t>
      </w:r>
    </w:p>
    <w:p>
      <w:pPr>
        <w:spacing w:after="85"/>
        <w:ind w:left="431"/>
      </w:pPr>
      <w:r>
        <w:rPr>
          <w:b/>
          <w:bCs/>
          <w:i w:val="false"/>
          <w:iCs w:val="false"/>
          <w:color w:val="141F1D"/>
          <w:sz w:val="20"/>
          <w:szCs w:val="20"/>
        </w:rPr>
        <w:t xml:space="preserve">Ask Lois: which pathway, how long realistically, and can we start the paperwork before the protocol is final?</w:t>
      </w:r>
    </w:p>
    <w:p>
      <w:pPr>
        <w:spacing w:after="85"/>
        <w:ind w:left="431"/>
      </w:pPr>
      <w:r>
        <w:rPr>
          <w:b w:val="false"/>
          <w:bCs w:val="false"/>
          <w:i w:val="false"/>
          <w:iCs w:val="false"/>
          <w:color w:val="5A6B66"/>
          <w:sz w:val="20"/>
          <w:szCs w:val="20"/>
        </w:rPr>
        <w:t xml:space="preserve">Scope on the table: roughly 150 mothers, eight weeks, measuring engagement rate, modality choice, avatar minutes, enrolment conversion and safety-trigger performance. Not clinical outcomes.</w:t>
      </w:r>
    </w:p>
    <w:p>
      <w:pPr>
        <w:spacing w:after="90" w:before="250"/>
      </w:pPr>
      <w:r>
        <w:rPr>
          <w:b/>
          <w:bCs/>
          <w:color w:val="0F6E63"/>
          <w:sz w:val="23"/>
          <w:szCs w:val="23"/>
        </w:rPr>
        <w:t xml:space="preserve">2.  </w:t>
      </w:r>
      <w:r>
        <w:rPr>
          <w:b/>
          <w:bCs/>
          <w:color w:val="141F1D"/>
          <w:sz w:val="23"/>
          <w:szCs w:val="23"/>
        </w:rPr>
        <w:t xml:space="preserve">Advisory and governance committee — the content pipeline</w:t>
      </w:r>
      <w:r>
        <w:rPr>
          <w:color w:val="5A6B66"/>
          <w:sz w:val="17"/>
          <w:szCs w:val="17"/>
        </w:rPr>
        <w:t xml:space="preserve">   15 min</w:t>
      </w:r>
    </w:p>
    <w:p>
      <w:pPr>
        <w:spacing w:after="85"/>
        <w:ind w:left="431"/>
      </w:pPr>
      <w:r>
        <w:rPr>
          <w:b/>
          <w:bCs/>
          <w:i w:val="false"/>
          <w:iCs w:val="false"/>
          <w:color w:val="141F1D"/>
          <w:sz w:val="20"/>
          <w:szCs w:val="20"/>
        </w:rPr>
        <w:t xml:space="preserve">VS-038, the SME feedback loop, is in build on Track B right now, and ACU approval is already a step in the corpus catalogue. So the software is being built for reviewers who do not yet exist.</w:t>
      </w:r>
    </w:p>
    <w:p>
      <w:pPr>
        <w:spacing w:after="130"/>
        <w:ind w:left="431"/>
      </w:pPr>
      <w:r>
        <w:rPr>
          <w:b w:val="false"/>
          <w:bCs w:val="false"/>
          <w:i w:val="false"/>
          <w:iCs w:val="false"/>
          <w:color w:val="5A6B66"/>
          <w:sz w:val="20"/>
          <w:szCs w:val="20"/>
        </w:rPr>
        <w:t xml:space="preserve">Skeleton below. Three seats are named, three are gaps, and two of the gaps are the ones a health service will ask about first.</w:t>
      </w:r>
    </w:p>
    <w:tbl>
      <w:tblPr>
        <w:tblW w:type="dxa" w:w="8300"/>
        <w:tblBorders>
          <w:top w:val="single" w:color="DBE4E1" w:sz="4"/>
          <w:left w:val="none"/>
          <w:bottom w:val="single" w:color="DBE4E1" w:sz="4"/>
          <w:right w:val="none"/>
          <w:insideH w:val="single" w:color="E7EDEB" w:sz="4"/>
          <w:insideV w:val="none"/>
        </w:tblBorders>
      </w:tblPr>
      <w:tblGrid>
        <w:gridCol w:w="2350"/>
        <w:gridCol w:w="2900"/>
        <w:gridCol w:w="1900"/>
        <w:gridCol w:w="1150"/>
      </w:tblGrid>
      <w:tr>
        <w:tc>
          <w:tcPr>
            <w:tcW w:type="dxa" w:w="2350"/>
            <w:shd w:fill="EFF4F3" w:val="clear"/>
            <w:tcMar>
              <w:top w:type="dxa" w:w="75"/>
              <w:left w:type="dxa" w:w="100"/>
              <w:bottom w:type="dxa" w:w="75"/>
              <w:right w:type="dxa" w:w="100"/>
            </w:tcMar>
          </w:tcPr>
          <w:p>
            <w:r>
              <w:rPr>
                <w:b/>
                <w:bCs/>
                <w:caps/>
                <w:color w:val="5A6B66"/>
                <w:spacing w:val="18"/>
                <w:sz w:val="15"/>
                <w:szCs w:val="15"/>
              </w:rPr>
              <w:t xml:space="preserve">Seat</w:t>
            </w:r>
          </w:p>
        </w:tc>
        <w:tc>
          <w:tcPr>
            <w:tcW w:type="dxa" w:w="2900"/>
            <w:shd w:fill="EFF4F3" w:val="clear"/>
            <w:tcMar>
              <w:top w:type="dxa" w:w="75"/>
              <w:left w:type="dxa" w:w="100"/>
              <w:bottom w:type="dxa" w:w="75"/>
              <w:right w:type="dxa" w:w="100"/>
            </w:tcMar>
          </w:tcPr>
          <w:p>
            <w:r>
              <w:rPr>
                <w:b/>
                <w:bCs/>
                <w:caps/>
                <w:color w:val="5A6B66"/>
                <w:spacing w:val="18"/>
                <w:sz w:val="15"/>
                <w:szCs w:val="15"/>
              </w:rPr>
              <w:t xml:space="preserve">What it decides</w:t>
            </w:r>
          </w:p>
        </w:tc>
        <w:tc>
          <w:tcPr>
            <w:tcW w:type="dxa" w:w="1900"/>
            <w:shd w:fill="EFF4F3" w:val="clear"/>
            <w:tcMar>
              <w:top w:type="dxa" w:w="75"/>
              <w:left w:type="dxa" w:w="100"/>
              <w:bottom w:type="dxa" w:w="75"/>
              <w:right w:type="dxa" w:w="100"/>
            </w:tcMar>
          </w:tcPr>
          <w:p>
            <w:r>
              <w:rPr>
                <w:b/>
                <w:bCs/>
                <w:caps/>
                <w:color w:val="5A6B66"/>
                <w:spacing w:val="18"/>
                <w:sz w:val="15"/>
                <w:szCs w:val="15"/>
              </w:rPr>
              <w:t xml:space="preserve">Candidate</w:t>
            </w:r>
          </w:p>
        </w:tc>
        <w:tc>
          <w:tcPr>
            <w:tcW w:type="dxa" w:w="1150"/>
            <w:shd w:fill="EFF4F3" w:val="clear"/>
            <w:tcMar>
              <w:top w:type="dxa" w:w="75"/>
              <w:left w:type="dxa" w:w="100"/>
              <w:bottom w:type="dxa" w:w="75"/>
              <w:right w:type="dxa" w:w="100"/>
            </w:tcMar>
          </w:tcPr>
          <w:p>
            <w:r>
              <w:rPr>
                <w:b/>
                <w:bCs/>
                <w:caps/>
                <w:color w:val="5A6B66"/>
                <w:spacing w:val="18"/>
                <w:sz w:val="15"/>
                <w:szCs w:val="15"/>
              </w:rPr>
              <w:t xml:space="preserve">Status</w:t>
            </w:r>
          </w:p>
        </w:tc>
      </w:tr>
      <w:tr>
        <w:tc>
          <w:tcPr>
            <w:tcW w:type="dxa" w:w="2350"/>
            <w:tcMar>
              <w:top w:type="dxa" w:w="75"/>
              <w:left w:type="dxa" w:w="100"/>
              <w:bottom w:type="dxa" w:w="75"/>
              <w:right w:type="dxa" w:w="100"/>
            </w:tcMar>
          </w:tcPr>
          <w:p>
            <w:r>
              <w:rPr>
                <w:caps w:val="false"/>
                <w:color w:val="141F1D"/>
                <w:sz w:val="18"/>
                <w:szCs w:val="18"/>
              </w:rPr>
              <w:t xml:space="preserve">Clinical content reviewers</w:t>
            </w:r>
          </w:p>
        </w:tc>
        <w:tc>
          <w:tcPr>
            <w:tcW w:type="dxa" w:w="2900"/>
            <w:tcMar>
              <w:top w:type="dxa" w:w="75"/>
              <w:left w:type="dxa" w:w="100"/>
              <w:bottom w:type="dxa" w:w="75"/>
              <w:right w:type="dxa" w:w="100"/>
            </w:tcMar>
          </w:tcPr>
          <w:p>
            <w:r>
              <w:rPr>
                <w:caps w:val="false"/>
                <w:color w:val="141F1D"/>
                <w:sz w:val="18"/>
                <w:szCs w:val="18"/>
              </w:rPr>
              <w:t xml:space="preserve">Approve corpus content — the RAG gate that sets recall quality</w:t>
            </w:r>
          </w:p>
        </w:tc>
        <w:tc>
          <w:tcPr>
            <w:tcW w:type="dxa" w:w="1900"/>
            <w:tcMar>
              <w:top w:type="dxa" w:w="75"/>
              <w:left w:type="dxa" w:w="100"/>
              <w:bottom w:type="dxa" w:w="75"/>
              <w:right w:type="dxa" w:w="100"/>
            </w:tcMar>
          </w:tcPr>
          <w:p>
            <w:r>
              <w:rPr>
                <w:caps w:val="false"/>
                <w:color w:val="141F1D"/>
                <w:sz w:val="18"/>
                <w:szCs w:val="18"/>
              </w:rPr>
              <w:t xml:space="preserve">Wallace, Simpson, Byatt (nominated 12 Aug)</w:t>
            </w:r>
          </w:p>
        </w:tc>
        <w:tc>
          <w:tcPr>
            <w:tcW w:type="dxa" w:w="1150"/>
            <w:tcMar>
              <w:top w:type="dxa" w:w="75"/>
              <w:left w:type="dxa" w:w="100"/>
              <w:bottom w:type="dxa" w:w="75"/>
              <w:right w:type="dxa" w:w="100"/>
            </w:tcMar>
          </w:tcPr>
          <w:p>
            <w:r>
              <w:rPr>
                <w:b w:val="1"/>
                <w:bCs w:val="1"/>
                <w:caps w:val="false"/>
                <w:color w:val="0F6E63"/>
                <w:sz w:val="18"/>
                <w:szCs w:val="18"/>
              </w:rPr>
              <w:t xml:space="preserve">NAMED</w:t>
            </w:r>
          </w:p>
        </w:tc>
      </w:tr>
      <w:tr>
        <w:tc>
          <w:tcPr>
            <w:tcW w:type="dxa" w:w="2350"/>
            <w:tcMar>
              <w:top w:type="dxa" w:w="75"/>
              <w:left w:type="dxa" w:w="100"/>
              <w:bottom w:type="dxa" w:w="75"/>
              <w:right w:type="dxa" w:w="100"/>
            </w:tcMar>
          </w:tcPr>
          <w:p>
            <w:r>
              <w:rPr>
                <w:caps w:val="false"/>
                <w:color w:val="141F1D"/>
                <w:sz w:val="18"/>
                <w:szCs w:val="18"/>
              </w:rPr>
              <w:t xml:space="preserve">Clinical safety lead</w:t>
            </w:r>
          </w:p>
        </w:tc>
        <w:tc>
          <w:tcPr>
            <w:tcW w:type="dxa" w:w="2900"/>
            <w:tcMar>
              <w:top w:type="dxa" w:w="75"/>
              <w:left w:type="dxa" w:w="100"/>
              <w:bottom w:type="dxa" w:w="75"/>
              <w:right w:type="dxa" w:w="100"/>
            </w:tcMar>
          </w:tcPr>
          <w:p>
            <w:r>
              <w:rPr>
                <w:caps w:val="false"/>
                <w:color w:val="141F1D"/>
                <w:sz w:val="18"/>
                <w:szCs w:val="18"/>
              </w:rPr>
              <w:t xml:space="preserve">Rules on escalation triggers, the education-only boundary and the warmth trap</w:t>
            </w:r>
          </w:p>
        </w:tc>
        <w:tc>
          <w:tcPr>
            <w:tcW w:type="dxa" w:w="1900"/>
            <w:tcMar>
              <w:top w:type="dxa" w:w="75"/>
              <w:left w:type="dxa" w:w="100"/>
              <w:bottom w:type="dxa" w:w="75"/>
              <w:right w:type="dxa" w:w="100"/>
            </w:tcMar>
          </w:tcPr>
          <w:p>
            <w:r>
              <w:rPr>
                <w:caps w:val="false"/>
                <w:color w:val="141F1D"/>
                <w:sz w:val="18"/>
                <w:szCs w:val="18"/>
              </w:rPr>
              <w:t xml:space="preserve">Lois or nominee</w:t>
            </w:r>
          </w:p>
        </w:tc>
        <w:tc>
          <w:tcPr>
            <w:tcW w:type="dxa" w:w="1150"/>
            <w:tcMar>
              <w:top w:type="dxa" w:w="75"/>
              <w:left w:type="dxa" w:w="100"/>
              <w:bottom w:type="dxa" w:w="75"/>
              <w:right w:type="dxa" w:w="100"/>
            </w:tcMar>
          </w:tcPr>
          <w:p>
            <w:r>
              <w:rPr>
                <w:b w:val="1"/>
                <w:bCs w:val="1"/>
                <w:caps w:val="false"/>
                <w:color w:val="A6342B"/>
                <w:sz w:val="18"/>
                <w:szCs w:val="18"/>
              </w:rPr>
              <w:t xml:space="preserve">OPEN</w:t>
            </w:r>
          </w:p>
        </w:tc>
      </w:tr>
      <w:tr>
        <w:tc>
          <w:tcPr>
            <w:tcW w:type="dxa" w:w="2350"/>
            <w:tcMar>
              <w:top w:type="dxa" w:w="75"/>
              <w:left w:type="dxa" w:w="100"/>
              <w:bottom w:type="dxa" w:w="75"/>
              <w:right w:type="dxa" w:w="100"/>
            </w:tcMar>
          </w:tcPr>
          <w:p>
            <w:r>
              <w:rPr>
                <w:caps w:val="false"/>
                <w:color w:val="141F1D"/>
                <w:sz w:val="18"/>
                <w:szCs w:val="18"/>
              </w:rPr>
              <w:t xml:space="preserve">Research / ethics lead</w:t>
            </w:r>
          </w:p>
        </w:tc>
        <w:tc>
          <w:tcPr>
            <w:tcW w:type="dxa" w:w="2900"/>
            <w:tcMar>
              <w:top w:type="dxa" w:w="75"/>
              <w:left w:type="dxa" w:w="100"/>
              <w:bottom w:type="dxa" w:w="75"/>
              <w:right w:type="dxa" w:w="100"/>
            </w:tcMar>
          </w:tcPr>
          <w:p>
            <w:r>
              <w:rPr>
                <w:caps w:val="false"/>
                <w:color w:val="141F1D"/>
                <w:sz w:val="18"/>
                <w:szCs w:val="18"/>
              </w:rPr>
              <w:t xml:space="preserve">Owns the HREC pathway and the evaluation design</w:t>
            </w:r>
          </w:p>
        </w:tc>
        <w:tc>
          <w:tcPr>
            <w:tcW w:type="dxa" w:w="1900"/>
            <w:tcMar>
              <w:top w:type="dxa" w:w="75"/>
              <w:left w:type="dxa" w:w="100"/>
              <w:bottom w:type="dxa" w:w="75"/>
              <w:right w:type="dxa" w:w="100"/>
            </w:tcMar>
          </w:tcPr>
          <w:p>
            <w:r>
              <w:rPr>
                <w:caps w:val="false"/>
                <w:color w:val="141F1D"/>
                <w:sz w:val="18"/>
                <w:szCs w:val="18"/>
              </w:rPr>
              <w:t xml:space="preserve">Lois</w:t>
            </w:r>
          </w:p>
        </w:tc>
        <w:tc>
          <w:tcPr>
            <w:tcW w:type="dxa" w:w="1150"/>
            <w:tcMar>
              <w:top w:type="dxa" w:w="75"/>
              <w:left w:type="dxa" w:w="100"/>
              <w:bottom w:type="dxa" w:w="75"/>
              <w:right w:type="dxa" w:w="100"/>
            </w:tcMar>
          </w:tcPr>
          <w:p>
            <w:r>
              <w:rPr>
                <w:b w:val="1"/>
                <w:bCs w:val="1"/>
                <w:caps w:val="false"/>
                <w:color w:val="A6342B"/>
                <w:sz w:val="18"/>
                <w:szCs w:val="18"/>
              </w:rPr>
              <w:t xml:space="preserve">ASSUMED</w:t>
            </w:r>
          </w:p>
        </w:tc>
      </w:tr>
      <w:tr>
        <w:tc>
          <w:tcPr>
            <w:tcW w:type="dxa" w:w="2350"/>
            <w:tcMar>
              <w:top w:type="dxa" w:w="75"/>
              <w:left w:type="dxa" w:w="100"/>
              <w:bottom w:type="dxa" w:w="75"/>
              <w:right w:type="dxa" w:w="100"/>
            </w:tcMar>
          </w:tcPr>
          <w:p>
            <w:r>
              <w:rPr>
                <w:caps w:val="false"/>
                <w:color w:val="141F1D"/>
                <w:sz w:val="18"/>
                <w:szCs w:val="18"/>
              </w:rPr>
              <w:t xml:space="preserve">Consumer / lived experience</w:t>
            </w:r>
          </w:p>
        </w:tc>
        <w:tc>
          <w:tcPr>
            <w:tcW w:type="dxa" w:w="2900"/>
            <w:tcMar>
              <w:top w:type="dxa" w:w="75"/>
              <w:left w:type="dxa" w:w="100"/>
              <w:bottom w:type="dxa" w:w="75"/>
              <w:right w:type="dxa" w:w="100"/>
            </w:tcMar>
          </w:tcPr>
          <w:p>
            <w:r>
              <w:rPr>
                <w:caps w:val="false"/>
                <w:color w:val="141F1D"/>
                <w:sz w:val="18"/>
                <w:szCs w:val="18"/>
              </w:rPr>
              <w:t xml:space="preserve">A mother's voice on content and tone — absent entirely</w:t>
            </w:r>
          </w:p>
        </w:tc>
        <w:tc>
          <w:tcPr>
            <w:tcW w:type="dxa" w:w="1900"/>
            <w:tcMar>
              <w:top w:type="dxa" w:w="75"/>
              <w:left w:type="dxa" w:w="100"/>
              <w:bottom w:type="dxa" w:w="75"/>
              <w:right w:type="dxa" w:w="100"/>
            </w:tcMar>
          </w:tcPr>
          <w:p>
            <w:r>
              <w:rPr>
                <w:caps w:val="false"/>
                <w:color w:val="141F1D"/>
                <w:sz w:val="18"/>
                <w:szCs w:val="18"/>
              </w:rPr>
              <w:t xml:space="preserve">Unidentified</w:t>
            </w:r>
          </w:p>
        </w:tc>
        <w:tc>
          <w:tcPr>
            <w:tcW w:type="dxa" w:w="1150"/>
            <w:tcMar>
              <w:top w:type="dxa" w:w="75"/>
              <w:left w:type="dxa" w:w="100"/>
              <w:bottom w:type="dxa" w:w="75"/>
              <w:right w:type="dxa" w:w="100"/>
            </w:tcMar>
          </w:tcPr>
          <w:p>
            <w:r>
              <w:rPr>
                <w:b w:val="1"/>
                <w:bCs w:val="1"/>
                <w:caps w:val="false"/>
                <w:color w:val="A6342B"/>
                <w:sz w:val="18"/>
                <w:szCs w:val="18"/>
              </w:rPr>
              <w:t xml:space="preserve">GAP</w:t>
            </w:r>
          </w:p>
        </w:tc>
      </w:tr>
      <w:tr>
        <w:tc>
          <w:tcPr>
            <w:tcW w:type="dxa" w:w="2350"/>
            <w:tcMar>
              <w:top w:type="dxa" w:w="75"/>
              <w:left w:type="dxa" w:w="100"/>
              <w:bottom w:type="dxa" w:w="75"/>
              <w:right w:type="dxa" w:w="100"/>
            </w:tcMar>
          </w:tcPr>
          <w:p>
            <w:r>
              <w:rPr>
                <w:caps w:val="false"/>
                <w:color w:val="141F1D"/>
                <w:sz w:val="18"/>
                <w:szCs w:val="18"/>
              </w:rPr>
              <w:t xml:space="preserve">Cultural safety</w:t>
            </w:r>
          </w:p>
        </w:tc>
        <w:tc>
          <w:tcPr>
            <w:tcW w:type="dxa" w:w="2900"/>
            <w:tcMar>
              <w:top w:type="dxa" w:w="75"/>
              <w:left w:type="dxa" w:w="100"/>
              <w:bottom w:type="dxa" w:w="75"/>
              <w:right w:type="dxa" w:w="100"/>
            </w:tcMar>
          </w:tcPr>
          <w:p>
            <w:r>
              <w:rPr>
                <w:caps w:val="false"/>
                <w:color w:val="141F1D"/>
                <w:sz w:val="18"/>
                <w:szCs w:val="18"/>
              </w:rPr>
              <w:t xml:space="preserve">CALD and First Nations review — the equity case depends on it</w:t>
            </w:r>
          </w:p>
        </w:tc>
        <w:tc>
          <w:tcPr>
            <w:tcW w:type="dxa" w:w="1900"/>
            <w:tcMar>
              <w:top w:type="dxa" w:w="75"/>
              <w:left w:type="dxa" w:w="100"/>
              <w:bottom w:type="dxa" w:w="75"/>
              <w:right w:type="dxa" w:w="100"/>
            </w:tcMar>
          </w:tcPr>
          <w:p>
            <w:r>
              <w:rPr>
                <w:caps w:val="false"/>
                <w:color w:val="141F1D"/>
                <w:sz w:val="18"/>
                <w:szCs w:val="18"/>
              </w:rPr>
              <w:t xml:space="preserve">Unidentified</w:t>
            </w:r>
          </w:p>
        </w:tc>
        <w:tc>
          <w:tcPr>
            <w:tcW w:type="dxa" w:w="1150"/>
            <w:tcMar>
              <w:top w:type="dxa" w:w="75"/>
              <w:left w:type="dxa" w:w="100"/>
              <w:bottom w:type="dxa" w:w="75"/>
              <w:right w:type="dxa" w:w="100"/>
            </w:tcMar>
          </w:tcPr>
          <w:p>
            <w:r>
              <w:rPr>
                <w:b w:val="1"/>
                <w:bCs w:val="1"/>
                <w:caps w:val="false"/>
                <w:color w:val="A6342B"/>
                <w:sz w:val="18"/>
                <w:szCs w:val="18"/>
              </w:rPr>
              <w:t xml:space="preserve">GAP</w:t>
            </w:r>
          </w:p>
        </w:tc>
      </w:tr>
      <w:tr>
        <w:tc>
          <w:tcPr>
            <w:tcW w:type="dxa" w:w="2350"/>
            <w:tcMar>
              <w:top w:type="dxa" w:w="75"/>
              <w:left w:type="dxa" w:w="100"/>
              <w:bottom w:type="dxa" w:w="75"/>
              <w:right w:type="dxa" w:w="100"/>
            </w:tcMar>
          </w:tcPr>
          <w:p>
            <w:r>
              <w:rPr>
                <w:caps w:val="false"/>
                <w:color w:val="141F1D"/>
                <w:sz w:val="18"/>
                <w:szCs w:val="18"/>
              </w:rPr>
              <w:t xml:space="preserve">Chair / convenor</w:t>
            </w:r>
          </w:p>
        </w:tc>
        <w:tc>
          <w:tcPr>
            <w:tcW w:type="dxa" w:w="2900"/>
            <w:tcMar>
              <w:top w:type="dxa" w:w="75"/>
              <w:left w:type="dxa" w:w="100"/>
              <w:bottom w:type="dxa" w:w="75"/>
              <w:right w:type="dxa" w:w="100"/>
            </w:tcMar>
          </w:tcPr>
          <w:p>
            <w:r>
              <w:rPr>
                <w:caps w:val="false"/>
                <w:color w:val="141F1D"/>
                <w:sz w:val="18"/>
                <w:szCs w:val="18"/>
              </w:rPr>
              <w:t xml:space="preserve">Runs the cadence and holds the record</w:t>
            </w:r>
          </w:p>
        </w:tc>
        <w:tc>
          <w:tcPr>
            <w:tcW w:type="dxa" w:w="1900"/>
            <w:tcMar>
              <w:top w:type="dxa" w:w="75"/>
              <w:left w:type="dxa" w:w="100"/>
              <w:bottom w:type="dxa" w:w="75"/>
              <w:right w:type="dxa" w:w="100"/>
            </w:tcMar>
          </w:tcPr>
          <w:p>
            <w:r>
              <w:rPr>
                <w:caps w:val="false"/>
                <w:color w:val="141F1D"/>
                <w:sz w:val="18"/>
                <w:szCs w:val="18"/>
              </w:rPr>
              <w:t xml:space="preserve">Unassigned</w:t>
            </w:r>
          </w:p>
        </w:tc>
        <w:tc>
          <w:tcPr>
            <w:tcW w:type="dxa" w:w="1150"/>
            <w:tcMar>
              <w:top w:type="dxa" w:w="75"/>
              <w:left w:type="dxa" w:w="100"/>
              <w:bottom w:type="dxa" w:w="75"/>
              <w:right w:type="dxa" w:w="100"/>
            </w:tcMar>
          </w:tcPr>
          <w:p>
            <w:r>
              <w:rPr>
                <w:b w:val="1"/>
                <w:bCs w:val="1"/>
                <w:caps w:val="false"/>
                <w:color w:val="A6342B"/>
                <w:sz w:val="18"/>
                <w:szCs w:val="18"/>
              </w:rPr>
              <w:t xml:space="preserve">OPEN</w:t>
            </w:r>
          </w:p>
        </w:tc>
      </w:tr>
    </w:tbl>
    <w:p>
      <w:pPr>
        <w:spacing w:after="110"/>
        <w:ind w:left="431"/>
      </w:pPr>
      <w:r>
        <w:rPr>
          <w:b w:val="false"/>
          <w:bCs w:val="false"/>
          <w:i w:val="false"/>
          <w:iCs w:val="false"/>
          <w:color w:val="141F1D"/>
          <w:sz w:val="20"/>
          <w:szCs w:val="20"/>
        </w:rPr>
        <w:t xml:space="preserve">The two real gaps are consumer voice and cultural safety. We argue an equity case on CALD, First Nations and regional access — and no one in that group is in the room deciding content. That is the question a clinical governance committee asks, and we currently have no answer.</w:t>
      </w:r>
    </w:p>
    <w:p>
      <w:pPr>
        <w:spacing w:after="85"/>
        <w:ind w:left="431"/>
      </w:pPr>
      <w:r>
        <w:rPr>
          <w:b/>
          <w:bCs/>
          <w:i w:val="false"/>
          <w:iCs w:val="false"/>
          <w:color w:val="141F1D"/>
          <w:sz w:val="20"/>
          <w:szCs w:val="20"/>
        </w:rPr>
        <w:t xml:space="preserve">Decide today: the seats, who convenes, and the first meeting date. Charter can follow.</w:t>
      </w:r>
    </w:p>
    <w:p>
      <w:pPr>
        <w:spacing w:after="85"/>
        <w:ind w:left="431"/>
      </w:pPr>
      <w:r>
        <w:rPr>
          <w:b w:val="false"/>
          <w:bCs w:val="false"/>
          <w:i w:val="false"/>
          <w:iCs w:val="false"/>
          <w:color w:val="5A6B66"/>
          <w:sz w:val="20"/>
          <w:szCs w:val="20"/>
        </w:rPr>
        <w:t xml:space="preserve">Also worth noting: ACM offered in April to look at exactly this — an advisory role for clinical oversight. That is a live option, not a cold ask.</w:t>
      </w:r>
    </w:p>
    <w:p>
      <w:pPr>
        <w:spacing w:after="90" w:before="250"/>
      </w:pPr>
      <w:r>
        <w:rPr>
          <w:b/>
          <w:bCs/>
          <w:color w:val="0F6E63"/>
          <w:sz w:val="23"/>
          <w:szCs w:val="23"/>
        </w:rPr>
        <w:t xml:space="preserve">3.  </w:t>
      </w:r>
      <w:r>
        <w:rPr>
          <w:b/>
          <w:bCs/>
          <w:color w:val="141F1D"/>
          <w:sz w:val="23"/>
          <w:szCs w:val="23"/>
        </w:rPr>
        <w:t xml:space="preserve">Sequencing: the evals epic</w:t>
      </w:r>
      <w:r>
        <w:rPr>
          <w:color w:val="5A6B66"/>
          <w:sz w:val="17"/>
          <w:szCs w:val="17"/>
        </w:rPr>
        <w:t xml:space="preserve">   8 min</w:t>
      </w:r>
    </w:p>
    <w:p>
      <w:pPr>
        <w:spacing w:after="85"/>
        <w:ind w:left="431"/>
      </w:pPr>
      <w:r>
        <w:rPr>
          <w:b w:val="false"/>
          <w:bCs w:val="false"/>
          <w:i w:val="false"/>
          <w:iCs w:val="false"/>
          <w:color w:val="141F1D"/>
          <w:sz w:val="20"/>
          <w:szCs w:val="20"/>
        </w:rPr>
        <w:t xml:space="preserve">Analytics and evals is 0 of 12 — roughly 24 to 30 hours at the board's own loop times. It gates the gold-standard eval set, therefore recall@5 and safety-tag triggering, therefore the entire TRL 4 claim. It also builds the pilot's measurement layer. It is currently scheduled behind thirteen app modality stories.</w:t>
      </w:r>
    </w:p>
    <w:p>
      <w:pPr>
        <w:spacing w:after="85"/>
        <w:ind w:left="431"/>
      </w:pPr>
      <w:r>
        <w:rPr>
          <w:b/>
          <w:bCs/>
          <w:i w:val="false"/>
          <w:iCs w:val="false"/>
          <w:color w:val="141F1D"/>
          <w:sz w:val="20"/>
          <w:szCs w:val="20"/>
        </w:rPr>
        <w:t xml:space="preserve">Proposal: promote the evals epic ahead of app modalities. It is the highest-value scheduling decision available and it costs nothing.</w:t>
      </w:r>
    </w:p>
    <w:p>
      <w:pPr>
        <w:spacing w:after="85"/>
        <w:ind w:left="431"/>
      </w:pPr>
      <w:r>
        <w:rPr>
          <w:b w:val="false"/>
          <w:bCs w:val="false"/>
          <w:i w:val="false"/>
          <w:iCs w:val="false"/>
          <w:color w:val="141F1D"/>
          <w:sz w:val="20"/>
          <w:szCs w:val="20"/>
        </w:rPr>
        <w:t xml:space="preserve">Related, and worth ACU's view since they will present the TRL claim: agree now what TRL 4 evidence looks like. If ACU signs off on the definition in advance, the claim is far stronger at UCAC than if we assert it afterwards.</w:t>
      </w:r>
    </w:p>
    <w:p>
      <w:pPr>
        <w:spacing w:after="90" w:before="250"/>
      </w:pPr>
      <w:r>
        <w:rPr>
          <w:b/>
          <w:bCs/>
          <w:color w:val="0F6E63"/>
          <w:sz w:val="23"/>
          <w:szCs w:val="23"/>
        </w:rPr>
        <w:t xml:space="preserve">4.  </w:t>
      </w:r>
      <w:r>
        <w:rPr>
          <w:b/>
          <w:bCs/>
          <w:color w:val="141F1D"/>
          <w:sz w:val="23"/>
          <w:szCs w:val="23"/>
        </w:rPr>
        <w:t xml:space="preserve">Engagement cadence</w:t>
      </w:r>
      <w:r>
        <w:rPr>
          <w:color w:val="5A6B66"/>
          <w:sz w:val="17"/>
          <w:szCs w:val="17"/>
        </w:rPr>
        <w:t xml:space="preserve">   5 min</w:t>
      </w:r>
    </w:p>
    <w:p>
      <w:pPr>
        <w:spacing w:after="85"/>
        <w:ind w:left="431"/>
      </w:pPr>
      <w:r>
        <w:rPr>
          <w:b w:val="false"/>
          <w:bCs w:val="false"/>
          <w:i w:val="false"/>
          <w:iCs w:val="false"/>
          <w:color w:val="141F1D"/>
          <w:sz w:val="20"/>
          <w:szCs w:val="20"/>
        </w:rPr>
        <w:t xml:space="preserve">Two Victorian chief officers were met or offered in June and both went quiet, for the same reason — contact is event-driven rather than scheduled. A cadence is the fix for a demonstrated failure, not administration.</w:t>
      </w:r>
    </w:p>
    <w:p>
      <w:pPr>
        <w:pStyle w:val="ListParagraph"/>
        <w:numPr>
          <w:ilvl w:val="0"/>
          <w:numId w:val="2"/>
        </w:numPr>
        <w:spacing w:after="65"/>
      </w:pPr>
      <w:r>
        <w:rPr>
          <w:b w:val="false"/>
          <w:bCs w:val="false"/>
          <w:color w:val="141F1D"/>
          <w:sz w:val="20"/>
          <w:szCs w:val="20"/>
        </w:rPr>
        <w:t xml:space="preserve">Advisory committee — meeting rhythm and corpus review cycle</w:t>
      </w:r>
    </w:p>
    <w:p>
      <w:pPr>
        <w:pStyle w:val="ListParagraph"/>
        <w:numPr>
          <w:ilvl w:val="0"/>
          <w:numId w:val="2"/>
        </w:numPr>
        <w:spacing w:after="65"/>
      </w:pPr>
      <w:r>
        <w:rPr>
          <w:b w:val="false"/>
          <w:bCs w:val="false"/>
          <w:color w:val="141F1D"/>
          <w:sz w:val="20"/>
          <w:szCs w:val="20"/>
        </w:rPr>
        <w:t xml:space="preserve">Senior officials — a six to eight week give-first touch, tied to something useful, never “checking in”</w:t>
      </w:r>
    </w:p>
    <w:p>
      <w:pPr>
        <w:pStyle w:val="ListParagraph"/>
        <w:numPr>
          <w:ilvl w:val="0"/>
          <w:numId w:val="2"/>
        </w:numPr>
        <w:spacing w:after="65"/>
      </w:pPr>
      <w:r>
        <w:rPr>
          <w:b w:val="false"/>
          <w:bCs w:val="false"/>
          <w:color w:val="141F1D"/>
          <w:sz w:val="20"/>
          <w:szCs w:val="20"/>
        </w:rPr>
        <w:t xml:space="preserve">ACM — routed through Lois, with the engagement note we already owe them</w:t>
      </w:r>
    </w:p>
    <w:p>
      <w:pPr>
        <w:spacing w:after="90" w:before="250"/>
      </w:pPr>
      <w:r>
        <w:rPr>
          <w:b/>
          <w:bCs/>
          <w:color w:val="0F6E63"/>
          <w:sz w:val="23"/>
          <w:szCs w:val="23"/>
        </w:rPr>
        <w:t xml:space="preserve">5.  </w:t>
      </w:r>
      <w:r>
        <w:rPr>
          <w:b/>
          <w:bCs/>
          <w:color w:val="141F1D"/>
          <w:sz w:val="23"/>
          <w:szCs w:val="23"/>
        </w:rPr>
        <w:t xml:space="preserve">Close</w:t>
      </w:r>
      <w:r>
        <w:rPr>
          <w:color w:val="5A6B66"/>
          <w:sz w:val="17"/>
          <w:szCs w:val="17"/>
        </w:rPr>
        <w:t xml:space="preserve">   2 min</w:t>
      </w:r>
    </w:p>
    <w:p>
      <w:pPr>
        <w:pStyle w:val="ListParagraph"/>
        <w:numPr>
          <w:ilvl w:val="0"/>
          <w:numId w:val="2"/>
        </w:numPr>
        <w:spacing w:after="65"/>
      </w:pPr>
      <w:r>
        <w:rPr>
          <w:b w:val="false"/>
          <w:bCs w:val="false"/>
          <w:color w:val="141F1D"/>
          <w:sz w:val="20"/>
          <w:szCs w:val="20"/>
        </w:rPr>
        <w:t xml:space="preserve">Ethics pathway decided and started</w:t>
      </w:r>
    </w:p>
    <w:p>
      <w:pPr>
        <w:pStyle w:val="ListParagraph"/>
        <w:numPr>
          <w:ilvl w:val="0"/>
          <w:numId w:val="2"/>
        </w:numPr>
        <w:spacing w:after="65"/>
      </w:pPr>
      <w:r>
        <w:rPr>
          <w:b w:val="false"/>
          <w:bCs w:val="false"/>
          <w:color w:val="141F1D"/>
          <w:sz w:val="20"/>
          <w:szCs w:val="20"/>
        </w:rPr>
        <w:t xml:space="preserve">Committee seats, convenor and first date agreed</w:t>
      </w:r>
    </w:p>
    <w:p>
      <w:pPr>
        <w:pStyle w:val="ListParagraph"/>
        <w:numPr>
          <w:ilvl w:val="0"/>
          <w:numId w:val="2"/>
        </w:numPr>
        <w:spacing w:after="65"/>
      </w:pPr>
      <w:r>
        <w:rPr>
          <w:b w:val="false"/>
          <w:bCs w:val="false"/>
          <w:color w:val="141F1D"/>
          <w:sz w:val="20"/>
          <w:szCs w:val="20"/>
        </w:rPr>
        <w:t xml:space="preserve">Evals promoted; TRL 4 evidence definition agreed</w:t>
      </w:r>
    </w:p>
    <w:p>
      <w:pPr>
        <w:pStyle w:val="ListParagraph"/>
        <w:numPr>
          <w:ilvl w:val="0"/>
          <w:numId w:val="2"/>
        </w:numPr>
        <w:spacing w:after="65"/>
      </w:pPr>
      <w:r>
        <w:rPr>
          <w:b w:val="false"/>
          <w:bCs w:val="false"/>
          <w:color w:val="141F1D"/>
          <w:sz w:val="20"/>
          <w:szCs w:val="20"/>
        </w:rPr>
        <w:t xml:space="preserve">What feeds the 16 Sept Steering Committee</w:t>
      </w:r>
    </w:p>
    <w:p>
      <w:pPr>
        <w:pBdr>
          <w:bottom w:val="single" w:color="C6D3CF" w:sz="6"/>
        </w:pBdr>
        <w:spacing w:after="170" w:before="60"/>
      </w:pPr>
    </w:p>
    <w:p>
      <w:pPr>
        <w:spacing w:after="100" w:before="70"/>
      </w:pPr>
      <w:r>
        <w:rPr>
          <w:b/>
          <w:bCs/>
          <w:caps/>
          <w:color w:val="5A6B66"/>
          <w:spacing w:val="26"/>
          <w:sz w:val="16"/>
          <w:szCs w:val="16"/>
        </w:rPr>
        <w:t xml:space="preserve">Talking points</w:t>
      </w:r>
    </w:p>
    <w:p>
      <w:pPr>
        <w:spacing w:after="85"/>
        <w:ind w:left="0"/>
      </w:pPr>
      <w:r>
        <w:rPr>
          <w:b/>
          <w:bCs/>
          <w:i w:val="false"/>
          <w:iCs w:val="false"/>
          <w:color w:val="141F1D"/>
          <w:sz w:val="20"/>
          <w:szCs w:val="20"/>
        </w:rPr>
        <w:t xml:space="preserve">On the committee — the line that makes it urgent:</w:t>
      </w:r>
    </w:p>
    <w:p>
      <w:pPr>
        <w:pBdr>
          <w:left w:val="single" w:color="0F6E63" w:sz="12" w:space="10"/>
        </w:pBdr>
        <w:spacing w:after="100"/>
        <w:ind w:left="431"/>
      </w:pPr>
      <w:r>
        <w:rPr>
          <w:i/>
          <w:iCs/>
          <w:color w:val="141F1D"/>
          <w:sz w:val="20"/>
          <w:szCs w:val="20"/>
        </w:rPr>
        <w:t xml:space="preserve">We are building the reviewer's console right now. The seats it is built for are empty. Until they are filled, corpus approval has no one to route to and the RAG quality that recall@5 measures has no owner.</w:t>
      </w:r>
    </w:p>
    <w:p>
      <w:pPr>
        <w:spacing w:after="85"/>
        <w:ind w:left="0"/>
      </w:pPr>
      <w:r>
        <w:rPr>
          <w:b/>
          <w:bCs/>
          <w:i w:val="false"/>
          <w:iCs w:val="false"/>
          <w:color w:val="141F1D"/>
          <w:sz w:val="20"/>
          <w:szCs w:val="20"/>
        </w:rPr>
        <w:t xml:space="preserve">On ethics — the framing that saves time:</w:t>
      </w:r>
    </w:p>
    <w:p>
      <w:pPr>
        <w:pBdr>
          <w:left w:val="single" w:color="0F6E63" w:sz="12" w:space="10"/>
        </w:pBdr>
        <w:spacing w:after="100"/>
        <w:ind w:left="431"/>
      </w:pPr>
      <w:r>
        <w:rPr>
          <w:i/>
          <w:iCs/>
          <w:color w:val="141F1D"/>
          <w:sz w:val="20"/>
          <w:szCs w:val="20"/>
        </w:rPr>
        <w:t xml:space="preserve">If this is a service evaluation with the health service rather than research, the pathway may be much faster. The decision that forces the heavier route is whether the same data feeds Paper 5. Let's take that decision deliberately rather than inherit it.</w:t>
      </w:r>
    </w:p>
    <w:p>
      <w:pPr>
        <w:spacing w:after="85"/>
        <w:ind w:left="0"/>
      </w:pPr>
      <w:r>
        <w:rPr>
          <w:b/>
          <w:bCs/>
          <w:i w:val="false"/>
          <w:iCs w:val="false"/>
          <w:color w:val="141F1D"/>
          <w:sz w:val="20"/>
          <w:szCs w:val="20"/>
        </w:rPr>
        <w:t xml:space="preserve">On evals — the number that lands:</w:t>
      </w:r>
    </w:p>
    <w:p>
      <w:pPr>
        <w:pBdr>
          <w:left w:val="single" w:color="0F6E63" w:sz="12" w:space="10"/>
        </w:pBdr>
        <w:spacing w:after="100"/>
        <w:ind w:left="431"/>
      </w:pPr>
      <w:r>
        <w:rPr>
          <w:i/>
          <w:iCs/>
          <w:color w:val="141F1D"/>
          <w:sz w:val="20"/>
          <w:szCs w:val="20"/>
        </w:rPr>
        <w:t xml:space="preserve">Twenty-four to thirty hours of engineering sits between us and the ability to make a TRL 4 claim, and it is currently scheduled last, behind features nobody has asked for.</w:t>
      </w:r>
    </w:p>
    <w:sectPr>
      <w:pgSz w:w="11906" w:h="16838" w:orient="portrait"/>
      <w:pgMar w:top="1050" w:right="1050" w:bottom="95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18"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2026-09-01T23:47:51.780Z</dcterms:created>
  <dcterms:modified xsi:type="dcterms:W3CDTF">2026-09-01T23:47:51.794Z</dcterms:modified>
</cp:coreProperties>
</file>

<file path=docProps/custom.xml><?xml version="1.0" encoding="utf-8"?>
<Properties xmlns="http://schemas.openxmlformats.org/officeDocument/2006/custom-properties" xmlns:vt="http://schemas.openxmlformats.org/officeDocument/2006/docPropsVTypes"/>
</file>