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41F1D"/>
          <w:sz w:val="40"/>
          <w:szCs w:val="40"/>
        </w:rPr>
        <w:t xml:space="preserve">Kindred Care</w:t>
      </w:r>
    </w:p>
    <w:p>
      <w:pPr>
        <w:spacing w:after="20"/>
      </w:pPr>
      <w:r>
        <w:rPr>
          <w:color w:val="0F6E63"/>
          <w:sz w:val="23"/>
          <w:szCs w:val="23"/>
        </w:rPr>
        <w:t xml:space="preserve">A midwifery- and nurse-led education Companion</w:t>
      </w:r>
    </w:p>
    <w:p>
      <w:r>
        <w:rPr>
          <w:color w:val="55665F"/>
          <w:sz w:val="19"/>
          <w:szCs w:val="19"/>
        </w:rPr>
        <w:t xml:space="preserve">For women from 20 weeks of pregnancy to 12 months after birth</w:t>
      </w:r>
    </w:p>
    <w:p>
      <w:pPr>
        <w:pBdr>
          <w:bottom w:val="single" w:color="C6D3CF" w:sz="6"/>
        </w:pBdr>
        <w:spacing w:after="150" w:before="120"/>
      </w:pPr>
    </w:p>
    <w:p>
      <w:pPr>
        <w:spacing w:after="75" w:before="210"/>
      </w:pPr>
      <w:r>
        <w:rPr>
          <w:b/>
          <w:bCs/>
          <w:color w:val="0F6E63"/>
          <w:sz w:val="22"/>
          <w:szCs w:val="22"/>
        </w:rPr>
        <w:t xml:space="preserve">The gap</w:t>
      </w:r>
    </w:p>
    <w:p>
      <w:pPr>
        <w:spacing w:after="80"/>
      </w:pPr>
      <w:r>
        <w:rPr>
          <w:b w:val="false"/>
          <w:bCs w:val="false"/>
          <w:i w:val="false"/>
          <w:iCs w:val="false"/>
          <w:color w:val="141F1D"/>
          <w:sz w:val="19"/>
          <w:szCs w:val="19"/>
        </w:rPr>
        <w:t xml:space="preserve">Victoria's Maternity and Newborn Taskforce named workforce pressure, regional access and culturally safe care as priorities. Between appointments, women are largely on their own — and what they find online is unfiltered and unattributed.</w:t>
      </w:r>
    </w:p>
    <w:p>
      <w:pPr>
        <w:spacing w:after="80"/>
      </w:pPr>
      <w:r>
        <w:rPr>
          <w:b w:val="false"/>
          <w:bCs w:val="false"/>
          <w:i w:val="false"/>
          <w:iCs w:val="false"/>
          <w:color w:val="141F1D"/>
          <w:sz w:val="19"/>
          <w:szCs w:val="19"/>
        </w:rPr>
        <w:t xml:space="preserve">Midwives know this better than anyone. You cannot be there at two in the morning.</w:t>
      </w:r>
    </w:p>
    <w:p>
      <w:pPr>
        <w:spacing w:after="75" w:before="210"/>
      </w:pPr>
      <w:r>
        <w:rPr>
          <w:b/>
          <w:bCs/>
          <w:color w:val="0F6E63"/>
          <w:sz w:val="22"/>
          <w:szCs w:val="22"/>
        </w:rPr>
        <w:t xml:space="preserve">What the Companion does</w:t>
      </w:r>
    </w:p>
    <w:p>
      <w:pPr>
        <w:spacing w:after="80"/>
      </w:pPr>
      <w:r>
        <w:rPr>
          <w:b w:val="false"/>
          <w:bCs w:val="false"/>
          <w:i w:val="false"/>
          <w:iCs w:val="false"/>
          <w:color w:val="141F1D"/>
          <w:sz w:val="19"/>
          <w:szCs w:val="19"/>
        </w:rPr>
        <w:t xml:space="preserve">Elena is a supervised conversational Companion. A woman can ask a question at any hour, in her own words, and get an answer drawn from content clinicians have approved. She is designed to extend the reach of the midwifery team into the hours it cannot cover — not to substitute for any part of it.</w:t>
      </w:r>
    </w:p>
    <w:tbl>
      <w:tblPr>
        <w:tblW w:type="dxa" w:w="9400"/>
        <w:tblBorders>
          <w:top w:val="single" w:color="9CC9C1" w:sz="4"/>
          <w:left w:val="single" w:color="0F6E63" w:sz="18"/>
          <w:bottom w:val="single" w:color="9CC9C1" w:sz="4"/>
          <w:right w:val="single" w:color="9CC9C1" w:sz="4"/>
          <w:insideH w:val="none"/>
          <w:insideV w:val="none"/>
        </w:tblBorders>
      </w:tblPr>
      <w:tblGrid>
        <w:gridCol w:w="9400"/>
      </w:tblGrid>
      <w:tr>
        <w:tc>
          <w:tcPr>
            <w:tcW w:type="dxa" w:w="9400"/>
            <w:shd w:fill="F2F8F7" w:val="clear"/>
            <w:tcMar>
              <w:top w:type="dxa" w:w="140"/>
              <w:left w:type="dxa" w:w="190"/>
              <w:bottom w:type="dxa" w:w="140"/>
              <w:right w:type="dxa" w:w="170"/>
            </w:tcMar>
          </w:tcPr>
          <w:p>
            <w:pPr>
              <w:spacing w:after="70"/>
            </w:pPr>
            <w:r>
              <w:rPr>
                <w:b/>
                <w:bCs/>
                <w:color w:val="0F6E63"/>
                <w:sz w:val="20"/>
                <w:szCs w:val="20"/>
              </w:rPr>
              <w:t xml:space="preserve">What she will never do</w:t>
            </w:r>
          </w:p>
          <w:p>
            <w:pPr>
              <w:pStyle w:val="ListParagraph"/>
              <w:numPr>
                <w:ilvl w:val="0"/>
                <w:numId w:val="2"/>
              </w:numPr>
              <w:spacing w:after="52"/>
            </w:pPr>
            <w:r>
              <w:rPr>
                <w:b/>
                <w:bCs/>
                <w:color w:val="141F1D"/>
                <w:sz w:val="19"/>
                <w:szCs w:val="19"/>
              </w:rPr>
              <w:t xml:space="preserve">No diagnosis</w:t>
            </w:r>
          </w:p>
          <w:p>
            <w:pPr>
              <w:pStyle w:val="ListParagraph"/>
              <w:numPr>
                <w:ilvl w:val="0"/>
                <w:numId w:val="2"/>
              </w:numPr>
              <w:spacing w:after="52"/>
            </w:pPr>
            <w:r>
              <w:rPr>
                <w:b/>
                <w:bCs/>
                <w:color w:val="141F1D"/>
                <w:sz w:val="19"/>
                <w:szCs w:val="19"/>
              </w:rPr>
              <w:t xml:space="preserve">No triage</w:t>
            </w:r>
          </w:p>
          <w:p>
            <w:pPr>
              <w:pStyle w:val="ListParagraph"/>
              <w:numPr>
                <w:ilvl w:val="0"/>
                <w:numId w:val="2"/>
              </w:numPr>
              <w:spacing w:after="52"/>
            </w:pPr>
            <w:r>
              <w:rPr>
                <w:b/>
                <w:bCs/>
                <w:color w:val="141F1D"/>
                <w:sz w:val="19"/>
                <w:szCs w:val="19"/>
              </w:rPr>
              <w:t xml:space="preserve">No judgement about whether a symptom is serious</w:t>
            </w:r>
          </w:p>
          <w:p>
            <w:pPr>
              <w:spacing w:before="80"/>
            </w:pPr>
            <w:r>
              <w:rPr>
                <w:color w:val="141F1D"/>
                <w:sz w:val="18"/>
                <w:szCs w:val="18"/>
              </w:rPr>
              <w:t xml:space="preserve">Anything clinical goes straight back to the woman's own care team. This is not a policy setting that could be relaxed later — it is built into the architecture and there is no switch to turn it on.</w:t>
            </w:r>
          </w:p>
        </w:tc>
      </w:tr>
    </w:tbl>
    <w:p>
      <w:pPr>
        <w:spacing w:after="75" w:before="210"/>
      </w:pPr>
      <w:r>
        <w:rPr>
          <w:b/>
          <w:bCs/>
          <w:color w:val="0F6E63"/>
          <w:sz w:val="22"/>
          <w:szCs w:val="22"/>
        </w:rPr>
        <w:t xml:space="preserve">Why it holds up</w:t>
      </w:r>
    </w:p>
    <w:p>
      <w:pPr>
        <w:pStyle w:val="ListParagraph"/>
        <w:numPr>
          <w:ilvl w:val="0"/>
          <w:numId w:val="3"/>
        </w:numPr>
        <w:spacing w:after="52"/>
      </w:pPr>
      <w:r>
        <w:rPr>
          <w:color w:val="141F1D"/>
          <w:sz w:val="19"/>
          <w:szCs w:val="19"/>
        </w:rPr>
        <w:t xml:space="preserve">Designed with midwives and nurses. Content is reviewed and approved by clinicians before it ever reaches a woman.</w:t>
      </w:r>
    </w:p>
    <w:p>
      <w:pPr>
        <w:pStyle w:val="ListParagraph"/>
        <w:numPr>
          <w:ilvl w:val="0"/>
          <w:numId w:val="3"/>
        </w:numPr>
        <w:spacing w:after="52"/>
      </w:pPr>
      <w:r>
        <w:rPr>
          <w:color w:val="141F1D"/>
          <w:sz w:val="19"/>
          <w:szCs w:val="19"/>
        </w:rPr>
        <w:t xml:space="preserve">Developed with academic input from the midwifery discipline at Australian Catholic University — an active partnership exploration.</w:t>
      </w:r>
    </w:p>
    <w:p>
      <w:pPr>
        <w:pStyle w:val="ListParagraph"/>
        <w:numPr>
          <w:ilvl w:val="0"/>
          <w:numId w:val="3"/>
        </w:numPr>
        <w:spacing w:after="52"/>
      </w:pPr>
      <w:r>
        <w:rPr>
          <w:color w:val="141F1D"/>
          <w:sz w:val="19"/>
          <w:szCs w:val="19"/>
        </w:rPr>
        <w:t xml:space="preserve">Safety escalation is deterministic. It has been tested to work even when the underlying AI model is deliberately corrupted.</w:t>
      </w:r>
    </w:p>
    <w:p>
      <w:pPr>
        <w:pStyle w:val="ListParagraph"/>
        <w:numPr>
          <w:ilvl w:val="0"/>
          <w:numId w:val="3"/>
        </w:numPr>
        <w:spacing w:after="52"/>
      </w:pPr>
      <w:r>
        <w:rPr>
          <w:color w:val="141F1D"/>
          <w:sz w:val="19"/>
          <w:szCs w:val="19"/>
        </w:rPr>
        <w:t xml:space="preserve">Evidence-first. We are not claiming it works. We are asking for the chance to find out properly.</w:t>
      </w:r>
    </w:p>
    <w:p>
      <w:pPr>
        <w:spacing w:after="75" w:before="210"/>
      </w:pPr>
      <w:r>
        <w:rPr>
          <w:b/>
          <w:bCs/>
          <w:color w:val="0F6E63"/>
          <w:sz w:val="22"/>
          <w:szCs w:val="22"/>
        </w:rPr>
        <w:t xml:space="preserve">What we are asking</w:t>
      </w:r>
    </w:p>
    <w:p>
      <w:pPr>
        <w:spacing w:after="80"/>
      </w:pPr>
      <w:r>
        <w:rPr>
          <w:b w:val="false"/>
          <w:bCs w:val="false"/>
          <w:i w:val="false"/>
          <w:iCs w:val="false"/>
          <w:color w:val="141F1D"/>
          <w:sz w:val="19"/>
          <w:szCs w:val="19"/>
        </w:rPr>
        <w:t xml:space="preserve">A conversation. Thirty minutes with you, and if it seems useful, with your maternity leadership team.</w:t>
      </w:r>
    </w:p>
    <w:p>
      <w:pPr>
        <w:spacing w:after="80"/>
      </w:pPr>
      <w:r>
        <w:rPr>
          <w:b w:val="false"/>
          <w:bCs w:val="false"/>
          <w:i w:val="false"/>
          <w:iCs w:val="false"/>
          <w:color w:val="141F1D"/>
          <w:sz w:val="19"/>
          <w:szCs w:val="19"/>
        </w:rPr>
        <w:t xml:space="preserve">Beyond that, we are planning a small, time-limited evaluation — around 150 women, externally funded — where a service provides the clinical setting and we run the evaluation alongside the team.</w:t>
      </w:r>
    </w:p>
    <w:p>
      <w:pPr>
        <w:spacing w:after="80"/>
      </w:pPr>
      <w:r>
        <w:rPr>
          <w:b/>
          <w:bCs/>
          <w:i w:val="false"/>
          <w:iCs w:val="false"/>
          <w:color w:val="141F1D"/>
          <w:sz w:val="19"/>
          <w:szCs w:val="19"/>
        </w:rPr>
        <w:t xml:space="preserve">No procurement. No licence. No budget line required.</w:t>
      </w:r>
    </w:p>
    <w:p>
      <w:pPr>
        <w:spacing w:after="75" w:before="210"/>
      </w:pPr>
      <w:r>
        <w:rPr>
          <w:b/>
          <w:bCs/>
          <w:color w:val="0F6E63"/>
          <w:sz w:val="22"/>
          <w:szCs w:val="22"/>
        </w:rPr>
        <w:t xml:space="preserve">What it offers a service</w:t>
      </w:r>
    </w:p>
    <w:p>
      <w:pPr>
        <w:pStyle w:val="ListParagraph"/>
        <w:numPr>
          <w:ilvl w:val="0"/>
          <w:numId w:val="3"/>
        </w:numPr>
        <w:spacing w:after="52"/>
      </w:pPr>
      <w:r>
        <w:rPr>
          <w:color w:val="141F1D"/>
          <w:sz w:val="19"/>
          <w:szCs w:val="19"/>
        </w:rPr>
        <w:t xml:space="preserve">Shape the content and the safety design while both are still open</w:t>
      </w:r>
    </w:p>
    <w:p>
      <w:pPr>
        <w:pStyle w:val="ListParagraph"/>
        <w:numPr>
          <w:ilvl w:val="0"/>
          <w:numId w:val="3"/>
        </w:numPr>
        <w:spacing w:after="52"/>
      </w:pPr>
      <w:r>
        <w:rPr>
          <w:color w:val="141F1D"/>
          <w:sz w:val="19"/>
          <w:szCs w:val="19"/>
        </w:rPr>
        <w:t xml:space="preserve">Academic co-authorship on the evaluation outputs, with ACU</w:t>
      </w:r>
    </w:p>
    <w:p>
      <w:pPr>
        <w:pStyle w:val="ListParagraph"/>
        <w:numPr>
          <w:ilvl w:val="0"/>
          <w:numId w:val="3"/>
        </w:numPr>
        <w:spacing w:after="52"/>
      </w:pPr>
      <w:r>
        <w:rPr>
          <w:color w:val="141F1D"/>
          <w:sz w:val="19"/>
          <w:szCs w:val="19"/>
        </w:rPr>
        <w:t xml:space="preserve">An early, honest view of what works and what does not — at no cost</w:t>
      </w:r>
    </w:p>
    <w:p>
      <w:pPr>
        <w:pStyle w:val="ListParagraph"/>
        <w:numPr>
          <w:ilvl w:val="0"/>
          <w:numId w:val="3"/>
        </w:numPr>
        <w:spacing w:after="52"/>
      </w:pPr>
      <w:r>
        <w:rPr>
          <w:color w:val="141F1D"/>
          <w:sz w:val="19"/>
          <w:szCs w:val="19"/>
        </w:rPr>
        <w:t xml:space="preserve">A clear answer either way. “Not a fit for us” is a genuinely useful result.</w:t>
      </w:r>
    </w:p>
    <w:p>
      <w:pPr>
        <w:pBdr>
          <w:bottom w:val="single" w:color="C6D3CF" w:sz="6"/>
        </w:pBdr>
        <w:spacing w:after="150" w:before="180"/>
      </w:pPr>
    </w:p>
    <w:p>
      <w:r>
        <w:rPr>
          <w:b/>
          <w:bCs/>
          <w:color w:val="141F1D"/>
          <w:sz w:val="19"/>
          <w:szCs w:val="19"/>
        </w:rPr>
        <w:t xml:space="preserve">Brad Chesham, RN</w:t>
      </w:r>
      <w:r>
        <w:rPr>
          <w:color w:val="55665F"/>
          <w:sz w:val="19"/>
          <w:szCs w:val="19"/>
        </w:rPr>
        <w:t xml:space="preserve">  ·  Founder, Bundle of Rays  ·  </w:t>
      </w:r>
      <w:r>
        <w:rPr>
          <w:color w:val="0F6E63"/>
          <w:sz w:val="19"/>
          <w:szCs w:val="19"/>
        </w:rPr>
        <w:t xml:space="preserve">brad@bundleofrays.com  ·  0432 504 487</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30"/>
      </w:pPr>
    </w:lvl>
  </w:abstractNum>
  <w:abstractNum w:abstractNumId="3" w15:restartNumberingAfterBreak="0">
    <w:multiLevelType w:val="hybridMultilevel"/>
    <w:lvl w:ilvl="0" w15:tentative="1">
      <w:start w:val="1"/>
      <w:numFmt w:val="bullet"/>
      <w:lvlText w:val="—"/>
      <w:lvlJc w:val="left"/>
      <w:pPr>
        <w:ind w:left="374"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2026-09-02T00:11:39.846Z</dcterms:created>
  <dcterms:modified xsi:type="dcterms:W3CDTF">2026-09-02T00:11:39.861Z</dcterms:modified>
</cp:coreProperties>
</file>

<file path=docProps/custom.xml><?xml version="1.0" encoding="utf-8"?>
<Properties xmlns="http://schemas.openxmlformats.org/officeDocument/2006/custom-properties" xmlns:vt="http://schemas.openxmlformats.org/officeDocument/2006/docPropsVTypes"/>
</file>