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3A6"/>
          <w:spacing w:val="100"/>
          <w:sz w:val="16"/>
          <w:szCs w:val="16"/>
        </w:rPr>
        <w:t xml:space="preserve">CLINICAL REFERENCE</w:t>
      </w:r>
    </w:p>
    <w:p>
      <w:pPr>
        <w:spacing w:after="40"/>
      </w:pPr>
      <w:r>
        <w:rPr>
          <w:rFonts w:ascii="Calibri" w:cs="Calibri" w:eastAsia="Calibri" w:hAnsi="Calibri"/>
          <w:b/>
          <w:bCs/>
          <w:color w:val="14435C"/>
          <w:sz w:val="46"/>
          <w:szCs w:val="46"/>
        </w:rPr>
        <w:t xml:space="preserve">The Ten Complications of Postnatal Care</w:t>
      </w:r>
    </w:p>
    <w:p>
      <w:pPr>
        <w:spacing w:after="200"/>
      </w:pPr>
      <w:r>
        <w:rPr>
          <w:rFonts w:ascii="Cambria" w:cs="Cambria" w:eastAsia="Cambria" w:hAnsi="Cambria"/>
          <w:i/>
          <w:iCs/>
          <w:color w:val="6B6B6B"/>
          <w:sz w:val="24"/>
          <w:szCs w:val="24"/>
        </w:rPr>
        <w:t xml:space="preserve">Maternal morbidity and mortality in the first six weeks after birth</w:t>
      </w:r>
    </w:p>
    <w:p>
      <w:pPr>
        <w:pBdr>
          <w:bottom w:val="single" w:color="C9D4DA" w:sz="6" w:space="1"/>
        </w:pBdr>
        <w:spacing w:after="160" w:before="0"/>
      </w:pPr>
      <w:r>
        <w:rPr>
          <w:sz w:val="2"/>
          <w:szCs w:val="2"/>
        </w:rPr>
        <w:t xml:space="preserve"/>
      </w:r>
    </w:p>
    <w:p>
      <w:pPr>
        <w:spacing w:after="300"/>
      </w:pPr>
      <w:r>
        <w:rPr>
          <w:rFonts w:ascii="Calibri" w:cs="Calibri" w:eastAsia="Calibri" w:hAnsi="Calibri"/>
          <w:color w:val="6B6B6B"/>
          <w:spacing w:val="20"/>
          <w:sz w:val="17"/>
          <w:szCs w:val="17"/>
        </w:rPr>
        <w:t xml:space="preserve">Prepared by  </w:t>
      </w:r>
      <w:r>
        <w:rPr>
          <w:rFonts w:ascii="Calibri" w:cs="Calibri" w:eastAsia="Calibri" w:hAnsi="Calibri"/>
          <w:b/>
          <w:bCs/>
          <w:color w:val="1A1A1A"/>
          <w:sz w:val="17"/>
          <w:szCs w:val="17"/>
        </w:rPr>
        <w:t xml:space="preserve">Bradley Chesham, RN, MSc</w:t>
      </w:r>
      <w:r>
        <w:rPr>
          <w:rFonts w:ascii="Calibri" w:cs="Calibri" w:eastAsia="Calibri" w:hAnsi="Calibri"/>
          <w:color w:val="6B6B6B"/>
          <w:spacing w:val="20"/>
          <w:sz w:val="17"/>
          <w:szCs w:val="17"/>
        </w:rPr>
        <w:t xml:space="preserve">     Date  </w:t>
      </w:r>
      <w:r>
        <w:rPr>
          <w:rFonts w:ascii="Calibri" w:cs="Calibri" w:eastAsia="Calibri" w:hAnsi="Calibri"/>
          <w:b/>
          <w:bCs/>
          <w:color w:val="1A1A1A"/>
          <w:sz w:val="17"/>
          <w:szCs w:val="17"/>
        </w:rPr>
        <w:t xml:space="preserve">03 Sep 2026</w:t>
      </w:r>
    </w:p>
    <w:p>
      <w:pPr>
        <w:spacing w:after="80" w:before="0"/>
      </w:pPr>
      <w:r>
        <w:rPr>
          <w:rFonts w:ascii="Calibri" w:cs="Calibri" w:eastAsia="Calibri" w:hAnsi="Calibri"/>
          <w:b/>
          <w:bCs/>
          <w:color w:val="14435C"/>
          <w:spacing w:val="60"/>
          <w:sz w:val="15"/>
          <w:szCs w:val="15"/>
        </w:rPr>
        <w:t xml:space="preserve">PURPOSE AND SCOPE</w:t>
      </w:r>
    </w:p>
    <w:p>
      <w:pPr>
        <w:spacing w:after="140" w:line="288"/>
        <w:jc w:val="left"/>
      </w:pPr>
      <w:r>
        <w:rPr>
          <w:rFonts w:ascii="Cambria" w:cs="Cambria" w:eastAsia="Cambria" w:hAnsi="Cambria"/>
          <w:i w:val="false"/>
          <w:iCs w:val="false"/>
          <w:color w:val="1A1A1A"/>
          <w:sz w:val="21"/>
          <w:szCs w:val="21"/>
        </w:rPr>
        <w:t xml:space="preserve">This document sets out the ten complications that carry the greatest burden of maternal death and serious morbidity in the postnatal period, ordered by consequence rather than by how often they occur. Each entry gives the risk window, a short clinical description written for practising nurses and midwives, and the key figures with their sources so the claim can be traced.</w:t>
      </w:r>
    </w:p>
    <w:p>
      <w:pPr>
        <w:spacing w:after="140" w:line="288"/>
        <w:jc w:val="left"/>
      </w:pPr>
      <w:r>
        <w:rPr>
          <w:rFonts w:ascii="Cambria" w:cs="Cambria" w:eastAsia="Cambria" w:hAnsi="Cambria"/>
          <w:i w:val="false"/>
          <w:iCs w:val="false"/>
          <w:color w:val="1A1A1A"/>
          <w:sz w:val="21"/>
          <w:szCs w:val="21"/>
        </w:rPr>
        <w:t xml:space="preserve">The ordering is deliberate. Most postnatal education is organised around what is common, which produces staff who are confident with engorgement and uncertain about a rising shock index. Frequency and consequence are different axes, and the second one is the one that kills people.</w:t>
      </w:r>
    </w:p>
    <w:p>
      <w:pPr>
        <w:spacing w:after="140" w:line="288"/>
        <w:jc w:val="left"/>
      </w:pPr>
      <w:r>
        <w:rPr>
          <w:rFonts w:ascii="Cambria" w:cs="Cambria" w:eastAsia="Cambria" w:hAnsi="Cambria"/>
          <w:i w:val="false"/>
          <w:iCs w:val="false"/>
          <w:color w:val="1A1A1A"/>
          <w:sz w:val="21"/>
          <w:szCs w:val="21"/>
        </w:rPr>
        <w:t xml:space="preserve">A note on definitions: the postnatal period is treated here as the first six weeks after birth, consistent with the international maternal mortality definition of 42 days. Several of these complications — perinatal mental illness, venous thromboembolism, peripartum cardiomyopathy and pelvic floor injury — extend well beyond that boundary, which is one reason the burden they carry is systematically under-counted.</w:t>
      </w:r>
    </w:p>
    <w:p>
      <w:pPr>
        <w:pBdr>
          <w:bottom w:val="single" w:color="C9D4DA" w:sz="6" w:space="1"/>
        </w:pBdr>
        <w:spacing w:after="40" w:before="20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01  </w:t>
      </w:r>
      <w:r>
        <w:rPr>
          <w:rFonts w:ascii="Calibri" w:cs="Calibri" w:eastAsia="Calibri" w:hAnsi="Calibri"/>
          <w:b/>
          <w:bCs/>
          <w:color w:val="14435C"/>
          <w:sz w:val="26"/>
          <w:szCs w:val="26"/>
        </w:rPr>
        <w:t xml:space="preserve">Postpartum haemorrhage</w:t>
      </w:r>
    </w:p>
    <w:p>
      <w:pPr>
        <w:keepNext/>
        <w:spacing w:after="160"/>
      </w:pPr>
      <w:r>
        <w:rPr>
          <w:rFonts w:ascii="Calibri" w:cs="Calibri" w:eastAsia="Calibri" w:hAnsi="Calibri"/>
          <w:i/>
          <w:iCs/>
          <w:color w:val="6B6B6B"/>
          <w:sz w:val="18"/>
          <w:szCs w:val="18"/>
        </w:rPr>
        <w:t xml:space="preserve">Risk window  ·  Primary within 24 hours of birth; secondary from 24 hours to 12 weeks</w:t>
      </w:r>
    </w:p>
    <w:p>
      <w:pPr>
        <w:spacing w:after="140" w:line="288"/>
        <w:jc w:val="left"/>
      </w:pPr>
      <w:r>
        <w:rPr>
          <w:rFonts w:ascii="Cambria" w:cs="Cambria" w:eastAsia="Cambria" w:hAnsi="Cambria"/>
          <w:i w:val="false"/>
          <w:iCs w:val="false"/>
          <w:color w:val="1A1A1A"/>
          <w:sz w:val="21"/>
          <w:szCs w:val="21"/>
        </w:rPr>
        <w:t xml:space="preserve">Primary postpartum haemorrhage is most often driven by uterine atony, with genital tract trauma, retained placental tissue and coagulopathy making up the remainder of the classical four Ts. Secondary haemorrhage presents later, usually from retained products of conception or endometritis, and typically arrives after the woman has gone home. It is the single most time-critical postnatal complication because deterioration can outrun the response of a ward that is not set up for resuscitation.</w:t>
      </w:r>
    </w:p>
    <w:p>
      <w:pPr>
        <w:spacing w:after="140" w:line="288"/>
        <w:jc w:val="left"/>
      </w:pPr>
      <w:r>
        <w:rPr>
          <w:rFonts w:ascii="Cambria" w:cs="Cambria" w:eastAsia="Cambria" w:hAnsi="Cambria"/>
          <w:i w:val="false"/>
          <w:iCs w:val="false"/>
          <w:color w:val="1A1A1A"/>
          <w:sz w:val="21"/>
          <w:szCs w:val="21"/>
        </w:rPr>
        <w:t xml:space="preserve">The nursing implication is that visual estimation of blood loss consistently underestimates the true volume, and a young, fit, physiologically compensated woman will hold a normal blood pressure until she has lost a great deal of circulating volume. Tachycardia, a narrowing pulse pressure and a rising shock index are the earlier signals. WHO's revised guidance, released on 05 Oct 2025, is built around objective measurement of blood loss and earlier bundled treatment for exactly this reason.</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Of an estimated 260,000 maternal deaths globally in 2023, close to 45,000 were attributable to PPH (WHO / PPH Roadmap Advocacy Working Group, 2025).</w:t>
      </w:r>
    </w:p>
    <w:p>
      <w:pPr>
        <w:pStyle w:val="ListParagraph"/>
        <w:numPr>
          <w:ilvl w:val="0"/>
          <w:numId w:val="2"/>
        </w:numPr>
        <w:spacing w:after="70" w:line="276"/>
      </w:pPr>
      <w:r>
        <w:rPr>
          <w:rFonts w:ascii="Calibri" w:cs="Calibri" w:eastAsia="Calibri" w:hAnsi="Calibri"/>
          <w:color w:val="1A1A1A"/>
          <w:sz w:val="20"/>
          <w:szCs w:val="20"/>
        </w:rPr>
        <w:t xml:space="preserve">PPH accounts for more than 20% of all reported maternal deaths worldwide, and over 80% of those deaths occur in sub-Saharan Africa and south Asia (WHO, 2024).</w:t>
      </w:r>
    </w:p>
    <w:p>
      <w:pPr>
        <w:pStyle w:val="ListParagraph"/>
        <w:numPr>
          <w:ilvl w:val="0"/>
          <w:numId w:val="2"/>
        </w:numPr>
        <w:spacing w:after="70" w:line="276"/>
      </w:pPr>
      <w:r>
        <w:rPr>
          <w:rFonts w:ascii="Calibri" w:cs="Calibri" w:eastAsia="Calibri" w:hAnsi="Calibri"/>
          <w:color w:val="1A1A1A"/>
          <w:sz w:val="20"/>
          <w:szCs w:val="20"/>
        </w:rPr>
        <w:t xml:space="preserve">Reported incidence ranges from roughly 1% to 10% of all births depending on definition and measurement method.</w:t>
      </w:r>
    </w:p>
    <w:p>
      <w:pPr>
        <w:pStyle w:val="ListParagraph"/>
        <w:numPr>
          <w:ilvl w:val="0"/>
          <w:numId w:val="2"/>
        </w:numPr>
        <w:spacing w:after="70" w:line="276"/>
      </w:pPr>
      <w:r>
        <w:rPr>
          <w:rFonts w:ascii="Calibri" w:cs="Calibri" w:eastAsia="Calibri" w:hAnsi="Calibri"/>
          <w:color w:val="1A1A1A"/>
          <w:sz w:val="20"/>
          <w:szCs w:val="20"/>
        </w:rPr>
        <w:t xml:space="preserve">The most widely used international definition remains blood loss of 500 mL or more within 24 hours of birth; WHO's 2025 guideline shifts emphasis to objective measurement and earlier escalation.</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02  </w:t>
      </w:r>
      <w:r>
        <w:rPr>
          <w:rFonts w:ascii="Calibri" w:cs="Calibri" w:eastAsia="Calibri" w:hAnsi="Calibri"/>
          <w:b/>
          <w:bCs/>
          <w:color w:val="14435C"/>
          <w:sz w:val="26"/>
          <w:szCs w:val="26"/>
        </w:rPr>
        <w:t xml:space="preserve">Puerperal sepsis and localised infection</w:t>
      </w:r>
    </w:p>
    <w:p>
      <w:pPr>
        <w:keepNext/>
        <w:spacing w:after="160"/>
      </w:pPr>
      <w:r>
        <w:rPr>
          <w:rFonts w:ascii="Calibri" w:cs="Calibri" w:eastAsia="Calibri" w:hAnsi="Calibri"/>
          <w:i/>
          <w:iCs/>
          <w:color w:val="6B6B6B"/>
          <w:sz w:val="18"/>
          <w:szCs w:val="18"/>
        </w:rPr>
        <w:t xml:space="preserve">Risk window  ·  Highest in the first 10 days; endometritis and wound infection commonly present after discharge</w:t>
      </w:r>
    </w:p>
    <w:p>
      <w:pPr>
        <w:spacing w:after="140" w:line="288"/>
        <w:jc w:val="left"/>
      </w:pPr>
      <w:r>
        <w:rPr>
          <w:rFonts w:ascii="Cambria" w:cs="Cambria" w:eastAsia="Cambria" w:hAnsi="Cambria"/>
          <w:i w:val="false"/>
          <w:iCs w:val="false"/>
          <w:color w:val="1A1A1A"/>
          <w:sz w:val="21"/>
          <w:szCs w:val="21"/>
        </w:rPr>
        <w:t xml:space="preserve">Postnatal infection spans endometritis, caesarean and perineal wound infection, mastitis progressing to abscess, urinary tract infection and pyelonephritis, and, at the severe end, group A streptococcal genital tract sepsis. The clinical trap is that the early picture is easily attributed to normal postnatal physiology: afterpains, lochia, breast engorgement, fatigue and a low-grade temperature all overlap with ordinary recovery.</w:t>
      </w:r>
    </w:p>
    <w:p>
      <w:pPr>
        <w:spacing w:after="140" w:line="288"/>
        <w:jc w:val="left"/>
      </w:pPr>
      <w:r>
        <w:rPr>
          <w:rFonts w:ascii="Cambria" w:cs="Cambria" w:eastAsia="Cambria" w:hAnsi="Cambria"/>
          <w:i w:val="false"/>
          <w:iCs w:val="false"/>
          <w:color w:val="1A1A1A"/>
          <w:sz w:val="21"/>
          <w:szCs w:val="21"/>
        </w:rPr>
        <w:t xml:space="preserve">Group A Strep in particular deteriorates far faster than most staff anticipate, sometimes within hours, and often in a woman who has been well. Any postnatal woman with a fever, severe or atypical abdominal pain, offensive lochia, or a disproportionate tachycardia warrants a sepsis screen rather than reassurance and paracetamol.</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Pregnancy-related sepsis accounts for approximately 11% of maternal deaths globally (Woodd et al., PLoS Medicine, 2019).</w:t>
      </w:r>
    </w:p>
    <w:p>
      <w:pPr>
        <w:pStyle w:val="ListParagraph"/>
        <w:numPr>
          <w:ilvl w:val="0"/>
          <w:numId w:val="2"/>
        </w:numPr>
        <w:spacing w:after="70" w:line="276"/>
      </w:pPr>
      <w:r>
        <w:rPr>
          <w:rFonts w:ascii="Calibri" w:cs="Calibri" w:eastAsia="Calibri" w:hAnsi="Calibri"/>
          <w:color w:val="1A1A1A"/>
          <w:sz w:val="20"/>
          <w:szCs w:val="20"/>
        </w:rPr>
        <w:t xml:space="preserve">Pooled incidence from high-quality studies: chorioamnionitis 3.9%, endometritis 1.6%, wound infection 1.2%, sepsis 0.05% (Woodd et al., 2019).</w:t>
      </w:r>
    </w:p>
    <w:p>
      <w:pPr>
        <w:pStyle w:val="ListParagraph"/>
        <w:numPr>
          <w:ilvl w:val="0"/>
          <w:numId w:val="2"/>
        </w:numPr>
        <w:spacing w:after="70" w:line="276"/>
      </w:pPr>
      <w:r>
        <w:rPr>
          <w:rFonts w:ascii="Calibri" w:cs="Calibri" w:eastAsia="Calibri" w:hAnsi="Calibri"/>
          <w:color w:val="1A1A1A"/>
          <w:sz w:val="20"/>
          <w:szCs w:val="20"/>
        </w:rPr>
        <w:t xml:space="preserve">Severe maternal sepsis occurred at 4.9 per 10,000 live births in a US population-based cohort — roughly double the earlier national estimate (Acosta et al. / Bauer et al. cohort data).</w:t>
      </w:r>
    </w:p>
    <w:p>
      <w:pPr>
        <w:pStyle w:val="ListParagraph"/>
        <w:numPr>
          <w:ilvl w:val="0"/>
          <w:numId w:val="2"/>
        </w:numPr>
        <w:spacing w:after="70" w:line="276"/>
      </w:pPr>
      <w:r>
        <w:rPr>
          <w:rFonts w:ascii="Calibri" w:cs="Calibri" w:eastAsia="Calibri" w:hAnsi="Calibri"/>
          <w:color w:val="1A1A1A"/>
          <w:sz w:val="20"/>
          <w:szCs w:val="20"/>
        </w:rPr>
        <w:t xml:space="preserve">Pre-eclampsia and postpartum haemorrhage each substantially raise the odds of progressing from uncomplicated sepsis to severe sepsis (adjusted OR 3.72 and 4.18 respectively).</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03  </w:t>
      </w:r>
      <w:r>
        <w:rPr>
          <w:rFonts w:ascii="Calibri" w:cs="Calibri" w:eastAsia="Calibri" w:hAnsi="Calibri"/>
          <w:b/>
          <w:bCs/>
          <w:color w:val="14435C"/>
          <w:sz w:val="26"/>
          <w:szCs w:val="26"/>
        </w:rPr>
        <w:t xml:space="preserve">Venous thromboembolism</w:t>
      </w:r>
    </w:p>
    <w:p>
      <w:pPr>
        <w:keepNext/>
        <w:spacing w:after="160"/>
      </w:pPr>
      <w:r>
        <w:rPr>
          <w:rFonts w:ascii="Calibri" w:cs="Calibri" w:eastAsia="Calibri" w:hAnsi="Calibri"/>
          <w:i/>
          <w:iCs/>
          <w:color w:val="6B6B6B"/>
          <w:sz w:val="18"/>
          <w:szCs w:val="18"/>
        </w:rPr>
        <w:t xml:space="preserve">Risk window  ·  Peak in the first week; elevated for at least six weeks and measurably beyond 12 weeks</w:t>
      </w:r>
    </w:p>
    <w:p>
      <w:pPr>
        <w:spacing w:after="140" w:line="288"/>
        <w:jc w:val="left"/>
      </w:pPr>
      <w:r>
        <w:rPr>
          <w:rFonts w:ascii="Cambria" w:cs="Cambria" w:eastAsia="Cambria" w:hAnsi="Cambria"/>
          <w:i w:val="false"/>
          <w:iCs w:val="false"/>
          <w:color w:val="1A1A1A"/>
          <w:sz w:val="21"/>
          <w:szCs w:val="21"/>
        </w:rPr>
        <w:t xml:space="preserve">The puerperium is the highest-risk period for venous thromboembolism in a woman's life. Pregnancy-induced hypercoagulability, venous stasis, pelvic vein compression and endothelial injury at delivery combine, and caesarean birth, obesity, immobility, pre-eclampsia, haemorrhage and infection compound it further.</w:t>
      </w:r>
    </w:p>
    <w:p>
      <w:pPr>
        <w:spacing w:after="140" w:line="288"/>
        <w:jc w:val="left"/>
      </w:pPr>
      <w:r>
        <w:rPr>
          <w:rFonts w:ascii="Cambria" w:cs="Cambria" w:eastAsia="Cambria" w:hAnsi="Cambria"/>
          <w:i w:val="false"/>
          <w:iCs w:val="false"/>
          <w:color w:val="1A1A1A"/>
          <w:sz w:val="21"/>
          <w:szCs w:val="21"/>
        </w:rPr>
        <w:t xml:space="preserve">Presentation is frequently blamed on something benign — calf pain attributed to positioning in stirrups, breathlessness attributed to deconditioning, pleuritic chest pain attributed to anxiety. Postnatal women are also systematically under-investigated because of concerns about imaging while breastfeeding, which is not a valid reason to delay diagnosis.</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Risk of VTE in the first six weeks postpartum is increased 21.5-fold to 84-fold compared with non-pregnant, non-postpartum women (Jackson et al., Obstetrics &amp; Gynecology, 2011).</w:t>
      </w:r>
    </w:p>
    <w:p>
      <w:pPr>
        <w:pStyle w:val="ListParagraph"/>
        <w:numPr>
          <w:ilvl w:val="0"/>
          <w:numId w:val="2"/>
        </w:numPr>
        <w:spacing w:after="70" w:line="276"/>
      </w:pPr>
      <w:r>
        <w:rPr>
          <w:rFonts w:ascii="Calibri" w:cs="Calibri" w:eastAsia="Calibri" w:hAnsi="Calibri"/>
          <w:color w:val="1A1A1A"/>
          <w:sz w:val="20"/>
          <w:szCs w:val="20"/>
        </w:rPr>
        <w:t xml:space="preserve">Risk is 37 times higher in the first week after delivery in a Finnish population cohort of 634,292 births, falling sharply thereafter (Galambosi et al., AOGS, 2017).</w:t>
      </w:r>
    </w:p>
    <w:p>
      <w:pPr>
        <w:pStyle w:val="ListParagraph"/>
        <w:numPr>
          <w:ilvl w:val="0"/>
          <w:numId w:val="2"/>
        </w:numPr>
        <w:spacing w:after="70" w:line="276"/>
      </w:pPr>
      <w:r>
        <w:rPr>
          <w:rFonts w:ascii="Calibri" w:cs="Calibri" w:eastAsia="Calibri" w:hAnsi="Calibri"/>
          <w:color w:val="1A1A1A"/>
          <w:sz w:val="20"/>
          <w:szCs w:val="20"/>
        </w:rPr>
        <w:t xml:space="preserve">Incidence falls from around 9 per 10,000 deliveries in week one to about 1 per 10,000 by week four, declining steadily through week 12 (Tepper et al., 2014).</w:t>
      </w:r>
    </w:p>
    <w:p>
      <w:pPr>
        <w:pStyle w:val="ListParagraph"/>
        <w:numPr>
          <w:ilvl w:val="0"/>
          <w:numId w:val="2"/>
        </w:numPr>
        <w:spacing w:after="70" w:line="276"/>
      </w:pPr>
      <w:r>
        <w:rPr>
          <w:rFonts w:ascii="Calibri" w:cs="Calibri" w:eastAsia="Calibri" w:hAnsi="Calibri"/>
          <w:color w:val="1A1A1A"/>
          <w:sz w:val="20"/>
          <w:szCs w:val="20"/>
        </w:rPr>
        <w:t xml:space="preserve">Absolute early-postpartum incidence in England was 468 per 100,000 person-years, against 99 per 100,000 antepartum (Sultan et al., 2013).</w:t>
      </w:r>
    </w:p>
    <w:p>
      <w:pPr>
        <w:pStyle w:val="ListParagraph"/>
        <w:numPr>
          <w:ilvl w:val="0"/>
          <w:numId w:val="2"/>
        </w:numPr>
        <w:spacing w:after="70" w:line="276"/>
      </w:pPr>
      <w:r>
        <w:rPr>
          <w:rFonts w:ascii="Calibri" w:cs="Calibri" w:eastAsia="Calibri" w:hAnsi="Calibri"/>
          <w:color w:val="1A1A1A"/>
          <w:sz w:val="20"/>
          <w:szCs w:val="20"/>
        </w:rPr>
        <w:t xml:space="preserve">Elevated thrombotic risk — including stroke and myocardial infarction — persists beyond the conventional six-week window (Kamel et al., NEJM, 2014).</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04  </w:t>
      </w:r>
      <w:r>
        <w:rPr>
          <w:rFonts w:ascii="Calibri" w:cs="Calibri" w:eastAsia="Calibri" w:hAnsi="Calibri"/>
          <w:b/>
          <w:bCs/>
          <w:color w:val="14435C"/>
          <w:sz w:val="26"/>
          <w:szCs w:val="26"/>
        </w:rPr>
        <w:t xml:space="preserve">Hypertensive disorders and postpartum pre-eclampsia</w:t>
      </w:r>
    </w:p>
    <w:p>
      <w:pPr>
        <w:keepNext/>
        <w:spacing w:after="160"/>
      </w:pPr>
      <w:r>
        <w:rPr>
          <w:rFonts w:ascii="Calibri" w:cs="Calibri" w:eastAsia="Calibri" w:hAnsi="Calibri"/>
          <w:i/>
          <w:iCs/>
          <w:color w:val="6B6B6B"/>
          <w:sz w:val="18"/>
          <w:szCs w:val="18"/>
        </w:rPr>
        <w:t xml:space="preserve">Risk window  ·  Blood pressure typically peaks day 3 to day 6; pre-eclampsia and eclampsia can present de novo up to six weeks postpartum</w:t>
      </w:r>
    </w:p>
    <w:p>
      <w:pPr>
        <w:spacing w:after="140" w:line="288"/>
        <w:jc w:val="left"/>
      </w:pPr>
      <w:r>
        <w:rPr>
          <w:rFonts w:ascii="Cambria" w:cs="Cambria" w:eastAsia="Cambria" w:hAnsi="Cambria"/>
          <w:i w:val="false"/>
          <w:iCs w:val="false"/>
          <w:color w:val="1A1A1A"/>
          <w:sz w:val="21"/>
          <w:szCs w:val="21"/>
        </w:rPr>
        <w:t xml:space="preserve">Postnatal hypertension divides into persistent disease following a hypertensive pregnancy and genuinely new-onset disease after a normotensive pregnancy. Both matter, but the second is the one that gets missed, because the woman carries no antenatal label and no one is looking.</w:t>
      </w:r>
    </w:p>
    <w:p>
      <w:pPr>
        <w:spacing w:after="140" w:line="288"/>
        <w:jc w:val="left"/>
      </w:pPr>
      <w:r>
        <w:rPr>
          <w:rFonts w:ascii="Cambria" w:cs="Cambria" w:eastAsia="Cambria" w:hAnsi="Cambria"/>
          <w:i w:val="false"/>
          <w:iCs w:val="false"/>
          <w:color w:val="1A1A1A"/>
          <w:sz w:val="21"/>
          <w:szCs w:val="21"/>
        </w:rPr>
        <w:t xml:space="preserve">The timing is the core system problem. Blood pressure peaks around day 3 to day 6 as the extravascular fluid accumulated in pregnancy mobilises, by which point most women have been home for days. Headache, visual disturbance, epigastric pain and oedema in a postnatal woman are pre-eclampsia symptoms until proven otherwise, and the risk of eclampsia is highest in the first week after birth.</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Hypertensive disorders complicate roughly 5% to 10% of pregnancies.</w:t>
      </w:r>
    </w:p>
    <w:p>
      <w:pPr>
        <w:pStyle w:val="ListParagraph"/>
        <w:numPr>
          <w:ilvl w:val="0"/>
          <w:numId w:val="2"/>
        </w:numPr>
        <w:spacing w:after="70" w:line="276"/>
      </w:pPr>
      <w:r>
        <w:rPr>
          <w:rFonts w:ascii="Calibri" w:cs="Calibri" w:eastAsia="Calibri" w:hAnsi="Calibri"/>
          <w:color w:val="1A1A1A"/>
          <w:sz w:val="20"/>
          <w:szCs w:val="20"/>
        </w:rPr>
        <w:t xml:space="preserve">63% of women readmitted with postpartum hypertension had no antecedent diagnosis of a pregnancy-related hypertensive disorder.</w:t>
      </w:r>
    </w:p>
    <w:p>
      <w:pPr>
        <w:pStyle w:val="ListParagraph"/>
        <w:numPr>
          <w:ilvl w:val="0"/>
          <w:numId w:val="2"/>
        </w:numPr>
        <w:spacing w:after="70" w:line="276"/>
      </w:pPr>
      <w:r>
        <w:rPr>
          <w:rFonts w:ascii="Calibri" w:cs="Calibri" w:eastAsia="Calibri" w:hAnsi="Calibri"/>
          <w:color w:val="1A1A1A"/>
          <w:sz w:val="20"/>
          <w:szCs w:val="20"/>
        </w:rPr>
        <w:t xml:space="preserve">Around 44% of eclampsia cases occur within the first 48 hours postpartum, and close to half of all US eclampsia cases develop in the postpartum period.</w:t>
      </w:r>
    </w:p>
    <w:p>
      <w:pPr>
        <w:pStyle w:val="ListParagraph"/>
        <w:numPr>
          <w:ilvl w:val="0"/>
          <w:numId w:val="2"/>
        </w:numPr>
        <w:spacing w:after="70" w:line="276"/>
      </w:pPr>
      <w:r>
        <w:rPr>
          <w:rFonts w:ascii="Calibri" w:cs="Calibri" w:eastAsia="Calibri" w:hAnsi="Calibri"/>
          <w:color w:val="1A1A1A"/>
          <w:sz w:val="20"/>
          <w:szCs w:val="20"/>
        </w:rPr>
        <w:t xml:space="preserve">De novo postpartum hypertension occurred in more than 1 in 10 patients in the year after delivery, with almost half diagnosed after discharge from the birth admission (Hypertension, 2022).</w:t>
      </w:r>
    </w:p>
    <w:p>
      <w:pPr>
        <w:pStyle w:val="ListParagraph"/>
        <w:numPr>
          <w:ilvl w:val="0"/>
          <w:numId w:val="2"/>
        </w:numPr>
        <w:spacing w:after="70" w:line="276"/>
      </w:pPr>
      <w:r>
        <w:rPr>
          <w:rFonts w:ascii="Calibri" w:cs="Calibri" w:eastAsia="Calibri" w:hAnsi="Calibri"/>
          <w:color w:val="1A1A1A"/>
          <w:sz w:val="20"/>
          <w:szCs w:val="20"/>
        </w:rPr>
        <w:t xml:space="preserve">Hypertension is the most common primary diagnosis for postpartum readmission within 42 days of birth, and accounts for approximately 27% of readmissions.</w:t>
      </w:r>
    </w:p>
    <w:p>
      <w:pPr>
        <w:pStyle w:val="ListParagraph"/>
        <w:numPr>
          <w:ilvl w:val="0"/>
          <w:numId w:val="2"/>
        </w:numPr>
        <w:spacing w:after="70" w:line="276"/>
      </w:pPr>
      <w:r>
        <w:rPr>
          <w:rFonts w:ascii="Calibri" w:cs="Calibri" w:eastAsia="Calibri" w:hAnsi="Calibri"/>
          <w:color w:val="1A1A1A"/>
          <w:sz w:val="20"/>
          <w:szCs w:val="20"/>
        </w:rPr>
        <w:t xml:space="preserve">A UK review of maternal deaths attributed around 10% to hypertensive disorders in the postpartum period.</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05  </w:t>
      </w:r>
      <w:r>
        <w:rPr>
          <w:rFonts w:ascii="Calibri" w:cs="Calibri" w:eastAsia="Calibri" w:hAnsi="Calibri"/>
          <w:b/>
          <w:bCs/>
          <w:color w:val="14435C"/>
          <w:sz w:val="26"/>
          <w:szCs w:val="26"/>
        </w:rPr>
        <w:t xml:space="preserve">Perinatal mental illness</w:t>
      </w:r>
    </w:p>
    <w:p>
      <w:pPr>
        <w:keepNext/>
        <w:spacing w:after="160"/>
      </w:pPr>
      <w:r>
        <w:rPr>
          <w:rFonts w:ascii="Calibri" w:cs="Calibri" w:eastAsia="Calibri" w:hAnsi="Calibri"/>
          <w:i/>
          <w:iCs/>
          <w:color w:val="6B6B6B"/>
          <w:sz w:val="18"/>
          <w:szCs w:val="18"/>
        </w:rPr>
        <w:t xml:space="preserve">Risk window  ·  Onset from the first days to 12 months; psychosis usually within the first two weeks</w:t>
      </w:r>
    </w:p>
    <w:p>
      <w:pPr>
        <w:spacing w:after="140" w:line="288"/>
        <w:jc w:val="left"/>
      </w:pPr>
      <w:r>
        <w:rPr>
          <w:rFonts w:ascii="Cambria" w:cs="Cambria" w:eastAsia="Cambria" w:hAnsi="Cambria"/>
          <w:i w:val="false"/>
          <w:iCs w:val="false"/>
          <w:color w:val="1A1A1A"/>
          <w:sz w:val="21"/>
          <w:szCs w:val="21"/>
        </w:rPr>
        <w:t xml:space="preserve">This group covers postnatal depression, perinatal anxiety, birth-related post-traumatic stress, obsessive-compulsive presentations and postpartum psychosis. Anxiety is at least as prevalent as depression and is more likely to be dismissed as normal new-parent worry. Postpartum psychosis is rare but is a genuine psychiatric emergency with an abrupt onset, most often in the first fortnight.</w:t>
      </w:r>
    </w:p>
    <w:p>
      <w:pPr>
        <w:spacing w:after="140" w:line="288"/>
        <w:jc w:val="left"/>
      </w:pPr>
      <w:r>
        <w:rPr>
          <w:rFonts w:ascii="Cambria" w:cs="Cambria" w:eastAsia="Cambria" w:hAnsi="Cambria"/>
          <w:i w:val="false"/>
          <w:iCs w:val="false"/>
          <w:color w:val="1A1A1A"/>
          <w:sz w:val="21"/>
          <w:szCs w:val="21"/>
        </w:rPr>
        <w:t xml:space="preserve">Screening alone does not change outcomes. The Edinburgh Postnatal Depression Scale identifies risk, but the referral pathway, the follow-up and the willingness to ask directly about intrusive thoughts and self-harm are what determine whether anything happens next. Australian maternal mortality data make clear that this is a mortality issue, not only a quality-of-life issue.</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Approximately 1 in 5 Australian mothers, and 1 in 10 fathers or non-birthing parents, experience perinatal depression or anxiety — close to 100,000 Australian parents each year (PANDA; Gidget Foundation; COPE).</w:t>
      </w:r>
    </w:p>
    <w:p>
      <w:pPr>
        <w:pStyle w:val="ListParagraph"/>
        <w:numPr>
          <w:ilvl w:val="0"/>
          <w:numId w:val="2"/>
        </w:numPr>
        <w:spacing w:after="70" w:line="276"/>
      </w:pPr>
      <w:r>
        <w:rPr>
          <w:rFonts w:ascii="Calibri" w:cs="Calibri" w:eastAsia="Calibri" w:hAnsi="Calibri"/>
          <w:color w:val="1A1A1A"/>
          <w:sz w:val="20"/>
          <w:szCs w:val="20"/>
        </w:rPr>
        <w:t xml:space="preserve">Perinatal anxiety disorders affect around one in five women in both the antenatal and postnatal periods, with high comorbidity with depression (COPE Perinatal Mental Health Practice Guideline, 2023).</w:t>
      </w:r>
    </w:p>
    <w:p>
      <w:pPr>
        <w:pStyle w:val="ListParagraph"/>
        <w:numPr>
          <w:ilvl w:val="0"/>
          <w:numId w:val="2"/>
        </w:numPr>
        <w:spacing w:after="70" w:line="276"/>
      </w:pPr>
      <w:r>
        <w:rPr>
          <w:rFonts w:ascii="Calibri" w:cs="Calibri" w:eastAsia="Calibri" w:hAnsi="Calibri"/>
          <w:color w:val="1A1A1A"/>
          <w:sz w:val="20"/>
          <w:szCs w:val="20"/>
        </w:rPr>
        <w:t xml:space="preserve">Postpartum psychosis affects 1 to 2 per 1,000 women who give birth.</w:t>
      </w:r>
    </w:p>
    <w:p>
      <w:pPr>
        <w:pStyle w:val="ListParagraph"/>
        <w:numPr>
          <w:ilvl w:val="0"/>
          <w:numId w:val="2"/>
        </w:numPr>
        <w:spacing w:after="70" w:line="276"/>
      </w:pPr>
      <w:r>
        <w:rPr>
          <w:rFonts w:ascii="Calibri" w:cs="Calibri" w:eastAsia="Calibri" w:hAnsi="Calibri"/>
          <w:color w:val="1A1A1A"/>
          <w:sz w:val="20"/>
          <w:szCs w:val="20"/>
        </w:rPr>
        <w:t xml:space="preserve">Suicide was the second-leading cause of maternal death in Australia in 2017 and the third-leading cause across 2008 to 2017 (AIHW). Deaths frequently fall outside the 42-day definition and so are under-counted.</w:t>
      </w:r>
    </w:p>
    <w:p>
      <w:pPr>
        <w:pStyle w:val="ListParagraph"/>
        <w:numPr>
          <w:ilvl w:val="0"/>
          <w:numId w:val="2"/>
        </w:numPr>
        <w:spacing w:after="70" w:line="276"/>
      </w:pPr>
      <w:r>
        <w:rPr>
          <w:rFonts w:ascii="Calibri" w:cs="Calibri" w:eastAsia="Calibri" w:hAnsi="Calibri"/>
          <w:color w:val="1A1A1A"/>
          <w:sz w:val="20"/>
          <w:szCs w:val="20"/>
        </w:rPr>
        <w:t xml:space="preserve">In 2023 there were 27 reported maternal deaths in Australia within 42 days of the end of pregnancy, giving a maternal mortality ratio of 8.2 per 100,000 women giving birth (AIHW, 2025).</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06  </w:t>
      </w:r>
      <w:r>
        <w:rPr>
          <w:rFonts w:ascii="Calibri" w:cs="Calibri" w:eastAsia="Calibri" w:hAnsi="Calibri"/>
          <w:b/>
          <w:bCs/>
          <w:color w:val="14435C"/>
          <w:sz w:val="26"/>
          <w:szCs w:val="26"/>
        </w:rPr>
        <w:t xml:space="preserve">Lactation failure, mastitis and breast abscess</w:t>
      </w:r>
    </w:p>
    <w:p>
      <w:pPr>
        <w:keepNext/>
        <w:spacing w:after="160"/>
      </w:pPr>
      <w:r>
        <w:rPr>
          <w:rFonts w:ascii="Calibri" w:cs="Calibri" w:eastAsia="Calibri" w:hAnsi="Calibri"/>
          <w:i/>
          <w:iCs/>
          <w:color w:val="6B6B6B"/>
          <w:sz w:val="18"/>
          <w:szCs w:val="18"/>
        </w:rPr>
        <w:t xml:space="preserve">Risk window  ·  Attachment problems from day 1; mastitis peaks in the first two to three weeks</w:t>
      </w:r>
    </w:p>
    <w:p>
      <w:pPr>
        <w:spacing w:after="140" w:line="288"/>
        <w:jc w:val="left"/>
      </w:pPr>
      <w:r>
        <w:rPr>
          <w:rFonts w:ascii="Cambria" w:cs="Cambria" w:eastAsia="Cambria" w:hAnsi="Cambria"/>
          <w:i w:val="false"/>
          <w:iCs w:val="false"/>
          <w:color w:val="1A1A1A"/>
          <w:sz w:val="21"/>
          <w:szCs w:val="21"/>
        </w:rPr>
        <w:t xml:space="preserve">Feeding complications sit at the intersection of maternal and neonatal risk. Poor attachment produces nipple trauma, incomplete drainage and milk stasis, which produce inflammatory and then bacterial mastitis, which drives early weaning. On the infant side the same problem presents as excessive weight loss, jaundice, hypernatraemic dehydration and readmission.</w:t>
      </w:r>
    </w:p>
    <w:p>
      <w:pPr>
        <w:spacing w:after="140" w:line="288"/>
        <w:jc w:val="left"/>
      </w:pPr>
      <w:r>
        <w:rPr>
          <w:rFonts w:ascii="Cambria" w:cs="Cambria" w:eastAsia="Cambria" w:hAnsi="Cambria"/>
          <w:i w:val="false"/>
          <w:iCs w:val="false"/>
          <w:color w:val="1A1A1A"/>
          <w:sz w:val="21"/>
          <w:szCs w:val="21"/>
        </w:rPr>
        <w:t xml:space="preserve">Mastitis is also a common route into serious infection. It is the presentation most likely to be managed by telephone advice, and the one where a delayed review turns a treatable inflammatory process into an abscess requiring aspiration or drainage.</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Reported incidence of lactational mastitis ranges from 10% to 33% of breastfeeding women; RACGP guidance puts it at approximately one in five.</w:t>
      </w:r>
    </w:p>
    <w:p>
      <w:pPr>
        <w:pStyle w:val="ListParagraph"/>
        <w:numPr>
          <w:ilvl w:val="0"/>
          <w:numId w:val="2"/>
        </w:numPr>
        <w:spacing w:after="70" w:line="276"/>
      </w:pPr>
      <w:r>
        <w:rPr>
          <w:rFonts w:ascii="Calibri" w:cs="Calibri" w:eastAsia="Calibri" w:hAnsi="Calibri"/>
          <w:color w:val="1A1A1A"/>
          <w:sz w:val="20"/>
          <w:szCs w:val="20"/>
        </w:rPr>
        <w:t xml:space="preserve">Mastitis is most common in the first two to three weeks postpartum and remains concentrated within the first six weeks.</w:t>
      </w:r>
    </w:p>
    <w:p>
      <w:pPr>
        <w:pStyle w:val="ListParagraph"/>
        <w:numPr>
          <w:ilvl w:val="0"/>
          <w:numId w:val="2"/>
        </w:numPr>
        <w:spacing w:after="70" w:line="276"/>
      </w:pPr>
      <w:r>
        <w:rPr>
          <w:rFonts w:ascii="Calibri" w:cs="Calibri" w:eastAsia="Calibri" w:hAnsi="Calibri"/>
          <w:color w:val="1A1A1A"/>
          <w:sz w:val="20"/>
          <w:szCs w:val="20"/>
        </w:rPr>
        <w:t xml:space="preserve">Breast abscess develops in 3% to 11% of women with mastitis, and in roughly 0.1% to 3% of all breastfeeding women; an Australian cohort estimated about 3% of mastitis cases progress to abscess.</w:t>
      </w:r>
    </w:p>
    <w:p>
      <w:pPr>
        <w:pStyle w:val="ListParagraph"/>
        <w:numPr>
          <w:ilvl w:val="0"/>
          <w:numId w:val="2"/>
        </w:numPr>
        <w:spacing w:after="70" w:line="276"/>
      </w:pPr>
      <w:r>
        <w:rPr>
          <w:rFonts w:ascii="Calibri" w:cs="Calibri" w:eastAsia="Calibri" w:hAnsi="Calibri"/>
          <w:color w:val="1A1A1A"/>
          <w:sz w:val="20"/>
          <w:szCs w:val="20"/>
        </w:rPr>
        <w:t xml:space="preserve">Mastitis is a frequent trigger for cessation of breastfeeding, with downstream consequences for infant nutrition and maternal cardiometabolic risk.</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07  </w:t>
      </w:r>
      <w:r>
        <w:rPr>
          <w:rFonts w:ascii="Calibri" w:cs="Calibri" w:eastAsia="Calibri" w:hAnsi="Calibri"/>
          <w:b/>
          <w:bCs/>
          <w:color w:val="14435C"/>
          <w:sz w:val="26"/>
          <w:szCs w:val="26"/>
        </w:rPr>
        <w:t xml:space="preserve">Iron deficiency and postpartum anaemia</w:t>
      </w:r>
    </w:p>
    <w:p>
      <w:pPr>
        <w:keepNext/>
        <w:spacing w:after="160"/>
      </w:pPr>
      <w:r>
        <w:rPr>
          <w:rFonts w:ascii="Calibri" w:cs="Calibri" w:eastAsia="Calibri" w:hAnsi="Calibri"/>
          <w:i/>
          <w:iCs/>
          <w:color w:val="6B6B6B"/>
          <w:sz w:val="18"/>
          <w:szCs w:val="18"/>
        </w:rPr>
        <w:t xml:space="preserve">Risk window  ·  From birth onward; commonly persists for months when untreated</w:t>
      </w:r>
    </w:p>
    <w:p>
      <w:pPr>
        <w:spacing w:after="140" w:line="288"/>
        <w:jc w:val="left"/>
      </w:pPr>
      <w:r>
        <w:rPr>
          <w:rFonts w:ascii="Cambria" w:cs="Cambria" w:eastAsia="Cambria" w:hAnsi="Cambria"/>
          <w:i w:val="false"/>
          <w:iCs w:val="false"/>
          <w:color w:val="1A1A1A"/>
          <w:sz w:val="21"/>
          <w:szCs w:val="21"/>
        </w:rPr>
        <w:t xml:space="preserve">Postnatal anaemia is the most under-treated complication on this list. It rarely kills anyone directly, so it slips out of view, but it degrades wound healing, raises infection risk, reduces milk supply, and produces the fatigue and cognitive fog that get labelled as postnatal depression. Antenatal anaemia is the strongest predictor, compounded by blood loss at birth.</w:t>
      </w:r>
    </w:p>
    <w:p>
      <w:pPr>
        <w:spacing w:after="140" w:line="288"/>
        <w:jc w:val="left"/>
      </w:pPr>
      <w:r>
        <w:rPr>
          <w:rFonts w:ascii="Cambria" w:cs="Cambria" w:eastAsia="Cambria" w:hAnsi="Cambria"/>
          <w:i w:val="false"/>
          <w:iCs w:val="false"/>
          <w:color w:val="1A1A1A"/>
          <w:sz w:val="21"/>
          <w:szCs w:val="21"/>
        </w:rPr>
        <w:t xml:space="preserve">Practically, a haemoglobin taken on day 1 after a significant bleed will lag behind the true deficit, and discharge frequently happens before a repeat is taken. A woman sent home on oral iron with no follow-up haemoglobin and no ferritin is a common and avoidable pattern.</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Studies in high-income countries report postpartum anaemia in 10% to 30% of women (WHO guideline on iron supplementation in postpartum women).</w:t>
      </w:r>
    </w:p>
    <w:p>
      <w:pPr>
        <w:pStyle w:val="ListParagraph"/>
        <w:numPr>
          <w:ilvl w:val="0"/>
          <w:numId w:val="2"/>
        </w:numPr>
        <w:spacing w:after="70" w:line="276"/>
      </w:pPr>
      <w:r>
        <w:rPr>
          <w:rFonts w:ascii="Calibri" w:cs="Calibri" w:eastAsia="Calibri" w:hAnsi="Calibri"/>
          <w:color w:val="1A1A1A"/>
          <w:sz w:val="20"/>
          <w:szCs w:val="20"/>
        </w:rPr>
        <w:t xml:space="preserve">In low- and middle-income countries, estimates range from 50% to 80% of postpartum women.</w:t>
      </w:r>
    </w:p>
    <w:p>
      <w:pPr>
        <w:pStyle w:val="ListParagraph"/>
        <w:numPr>
          <w:ilvl w:val="0"/>
          <w:numId w:val="2"/>
        </w:numPr>
        <w:spacing w:after="70" w:line="276"/>
      </w:pPr>
      <w:r>
        <w:rPr>
          <w:rFonts w:ascii="Calibri" w:cs="Calibri" w:eastAsia="Calibri" w:hAnsi="Calibri"/>
          <w:color w:val="1A1A1A"/>
          <w:sz w:val="20"/>
          <w:szCs w:val="20"/>
        </w:rPr>
        <w:t xml:space="preserve">Postnatal anaemia increases infection risk and impairs wound healing, and is independently associated with fatigue and depressive symptoms.</w:t>
      </w:r>
    </w:p>
    <w:p>
      <w:pPr>
        <w:pStyle w:val="ListParagraph"/>
        <w:numPr>
          <w:ilvl w:val="0"/>
          <w:numId w:val="2"/>
        </w:numPr>
        <w:spacing w:after="70" w:line="276"/>
      </w:pPr>
      <w:r>
        <w:rPr>
          <w:rFonts w:ascii="Calibri" w:cs="Calibri" w:eastAsia="Calibri" w:hAnsi="Calibri"/>
          <w:color w:val="1A1A1A"/>
          <w:sz w:val="20"/>
          <w:szCs w:val="20"/>
        </w:rPr>
        <w:t xml:space="preserve">Maternal anaemia is associated with insufficient milk production and shorter breastfeeding duration.</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08  </w:t>
      </w:r>
      <w:r>
        <w:rPr>
          <w:rFonts w:ascii="Calibri" w:cs="Calibri" w:eastAsia="Calibri" w:hAnsi="Calibri"/>
          <w:b/>
          <w:bCs/>
          <w:color w:val="14435C"/>
          <w:sz w:val="26"/>
          <w:szCs w:val="26"/>
        </w:rPr>
        <w:t xml:space="preserve">Perineal and abdominal wound morbidity</w:t>
      </w:r>
    </w:p>
    <w:p>
      <w:pPr>
        <w:keepNext/>
        <w:spacing w:after="160"/>
      </w:pPr>
      <w:r>
        <w:rPr>
          <w:rFonts w:ascii="Calibri" w:cs="Calibri" w:eastAsia="Calibri" w:hAnsi="Calibri"/>
          <w:i/>
          <w:iCs/>
          <w:color w:val="6B6B6B"/>
          <w:sz w:val="18"/>
          <w:szCs w:val="18"/>
        </w:rPr>
        <w:t xml:space="preserve">Risk window  ·  Infection and dehiscence typically day 4 to day 14; functional sequelae months to years</w:t>
      </w:r>
    </w:p>
    <w:p>
      <w:pPr>
        <w:spacing w:after="140" w:line="288"/>
        <w:jc w:val="left"/>
      </w:pPr>
      <w:r>
        <w:rPr>
          <w:rFonts w:ascii="Cambria" w:cs="Cambria" w:eastAsia="Cambria" w:hAnsi="Cambria"/>
          <w:i w:val="false"/>
          <w:iCs w:val="false"/>
          <w:color w:val="1A1A1A"/>
          <w:sz w:val="21"/>
          <w:szCs w:val="21"/>
        </w:rPr>
        <w:t xml:space="preserve">This covers obstetric anal sphincter injury and its repair, perineal wound infection and breakdown, vulval and vaginal haematoma, and caesarean wound infection, haematoma and dehiscence. Sphincter injury carries the heaviest long-term burden of any complication in this document, and rates have risen across comparable countries — partly genuine increase, partly improved recognition.</w:t>
      </w:r>
    </w:p>
    <w:p>
      <w:pPr>
        <w:spacing w:after="140" w:line="288"/>
        <w:jc w:val="left"/>
      </w:pPr>
      <w:r>
        <w:rPr>
          <w:rFonts w:ascii="Cambria" w:cs="Cambria" w:eastAsia="Cambria" w:hAnsi="Cambria"/>
          <w:i w:val="false"/>
          <w:iCs w:val="false"/>
          <w:color w:val="1A1A1A"/>
          <w:sz w:val="21"/>
          <w:szCs w:val="21"/>
        </w:rPr>
        <w:t xml:space="preserve">Postnatal review of the perineum is frequently cursory or skipped entirely, and women often do not volunteer symptoms they assume are normal. Faecal urgency, flatal incontinence and dyspareunia are all under-reported unless asked about directly and specifically.</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Obstetric anal sphincter injury complicates approximately 3% of vaginal births overall — 3% to 6% in primiparous women and 0.8% to 1.7% in multiparous women.</w:t>
      </w:r>
    </w:p>
    <w:p>
      <w:pPr>
        <w:pStyle w:val="ListParagraph"/>
        <w:numPr>
          <w:ilvl w:val="0"/>
          <w:numId w:val="2"/>
        </w:numPr>
        <w:spacing w:after="70" w:line="276"/>
      </w:pPr>
      <w:r>
        <w:rPr>
          <w:rFonts w:ascii="Calibri" w:cs="Calibri" w:eastAsia="Calibri" w:hAnsi="Calibri"/>
          <w:color w:val="1A1A1A"/>
          <w:sz w:val="20"/>
          <w:szCs w:val="20"/>
        </w:rPr>
        <w:t xml:space="preserve">Among primiparous women in Australia the rate rose from 4.1% in 2001 to 5.3% in 2009 (NSW population data, Ampt et al.); ANZ benchmarking has reported around 4.3% in selected primigravidae.</w:t>
      </w:r>
    </w:p>
    <w:p>
      <w:pPr>
        <w:pStyle w:val="ListParagraph"/>
        <w:numPr>
          <w:ilvl w:val="0"/>
          <w:numId w:val="2"/>
        </w:numPr>
        <w:spacing w:after="70" w:line="276"/>
      </w:pPr>
      <w:r>
        <w:rPr>
          <w:rFonts w:ascii="Calibri" w:cs="Calibri" w:eastAsia="Calibri" w:hAnsi="Calibri"/>
          <w:color w:val="1A1A1A"/>
          <w:sz w:val="20"/>
          <w:szCs w:val="20"/>
        </w:rPr>
        <w:t xml:space="preserve">Reported long-term anal incontinence after sphincter injury ranges from 15% to 61% across study populations, with perineal pain and dyspareunia the next most common complaints.</w:t>
      </w:r>
    </w:p>
    <w:p>
      <w:pPr>
        <w:pStyle w:val="ListParagraph"/>
        <w:numPr>
          <w:ilvl w:val="0"/>
          <w:numId w:val="2"/>
        </w:numPr>
        <w:spacing w:after="70" w:line="276"/>
      </w:pPr>
      <w:r>
        <w:rPr>
          <w:rFonts w:ascii="Calibri" w:cs="Calibri" w:eastAsia="Calibri" w:hAnsi="Calibri"/>
          <w:color w:val="1A1A1A"/>
          <w:sz w:val="20"/>
          <w:szCs w:val="20"/>
        </w:rPr>
        <w:t xml:space="preserve">In an Australian follow-up study at a mean of four years post-injury, 54% of respondents reported ongoing anal incontinence symptoms (Int Urogynecol J, 2019).</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09  </w:t>
      </w:r>
      <w:r>
        <w:rPr>
          <w:rFonts w:ascii="Calibri" w:cs="Calibri" w:eastAsia="Calibri" w:hAnsi="Calibri"/>
          <w:b/>
          <w:bCs/>
          <w:color w:val="14435C"/>
          <w:sz w:val="26"/>
          <w:szCs w:val="26"/>
        </w:rPr>
        <w:t xml:space="preserve">Bladder and bowel dysfunction</w:t>
      </w:r>
    </w:p>
    <w:p>
      <w:pPr>
        <w:keepNext/>
        <w:spacing w:after="160"/>
      </w:pPr>
      <w:r>
        <w:rPr>
          <w:rFonts w:ascii="Calibri" w:cs="Calibri" w:eastAsia="Calibri" w:hAnsi="Calibri"/>
          <w:i/>
          <w:iCs/>
          <w:color w:val="6B6B6B"/>
          <w:sz w:val="18"/>
          <w:szCs w:val="18"/>
        </w:rPr>
        <w:t xml:space="preserve">Risk window  ·  Retention within the first 24 hours; persistent dysfunction beyond day 3</w:t>
      </w:r>
    </w:p>
    <w:p>
      <w:pPr>
        <w:spacing w:after="140" w:line="288"/>
        <w:jc w:val="left"/>
      </w:pPr>
      <w:r>
        <w:rPr>
          <w:rFonts w:ascii="Cambria" w:cs="Cambria" w:eastAsia="Cambria" w:hAnsi="Cambria"/>
          <w:i w:val="false"/>
          <w:iCs w:val="false"/>
          <w:color w:val="1A1A1A"/>
          <w:sz w:val="21"/>
          <w:szCs w:val="21"/>
        </w:rPr>
        <w:t xml:space="preserve">Postpartum urinary retention is the most preventable serious complication in the immediate period and the one most dependent on nursing observation. Overt retention is an inability to void within six hours of birth or catheter removal; covert retention is a post-void residual above 150 mL in a woman who appears to be passing urine normally and is therefore invisible without measurement.</w:t>
      </w:r>
    </w:p>
    <w:p>
      <w:pPr>
        <w:spacing w:after="140" w:line="288"/>
        <w:jc w:val="left"/>
      </w:pPr>
      <w:r>
        <w:rPr>
          <w:rFonts w:ascii="Cambria" w:cs="Cambria" w:eastAsia="Cambria" w:hAnsi="Cambria"/>
          <w:i w:val="false"/>
          <w:iCs w:val="false"/>
          <w:color w:val="1A1A1A"/>
          <w:sz w:val="21"/>
          <w:szCs w:val="21"/>
        </w:rPr>
        <w:t xml:space="preserve">Repeated overdistension damages the detrusor and the parasympathetic fibres in the bladder wall, and in rare cases progresses to bladder rupture. Alongside this sit constipation, faecal urgency, urinary and anal incontinence and pelvic floor dysfunction, most of which are treatable and most of which are never raised.</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Reported incidence of postpartum urinary retention ranges from 0.05% to 45% of deliveries, reflecting inconsistent definitions and follow-up intervals.</w:t>
      </w:r>
    </w:p>
    <w:p>
      <w:pPr>
        <w:pStyle w:val="ListParagraph"/>
        <w:numPr>
          <w:ilvl w:val="0"/>
          <w:numId w:val="2"/>
        </w:numPr>
        <w:spacing w:after="70" w:line="276"/>
      </w:pPr>
      <w:r>
        <w:rPr>
          <w:rFonts w:ascii="Calibri" w:cs="Calibri" w:eastAsia="Calibri" w:hAnsi="Calibri"/>
          <w:color w:val="1A1A1A"/>
          <w:sz w:val="20"/>
          <w:szCs w:val="20"/>
        </w:rPr>
        <w:t xml:space="preserve">Overt retention requiring catheterisation occurred in 5.4% of primiparous vaginal births in a cohort of 12,609 women (BMC Pregnancy and Childbirth, 2022).</w:t>
      </w:r>
    </w:p>
    <w:p>
      <w:pPr>
        <w:pStyle w:val="ListParagraph"/>
        <w:numPr>
          <w:ilvl w:val="0"/>
          <w:numId w:val="2"/>
        </w:numPr>
        <w:spacing w:after="70" w:line="276"/>
      </w:pPr>
      <w:r>
        <w:rPr>
          <w:rFonts w:ascii="Calibri" w:cs="Calibri" w:eastAsia="Calibri" w:hAnsi="Calibri"/>
          <w:color w:val="1A1A1A"/>
          <w:sz w:val="20"/>
          <w:szCs w:val="20"/>
        </w:rPr>
        <w:t xml:space="preserve">Around 30% of identified retention in one large series was covert — detected only by measured post-void residual volume.</w:t>
      </w:r>
    </w:p>
    <w:p>
      <w:pPr>
        <w:pStyle w:val="ListParagraph"/>
        <w:numPr>
          <w:ilvl w:val="0"/>
          <w:numId w:val="2"/>
        </w:numPr>
        <w:spacing w:after="70" w:line="276"/>
      </w:pPr>
      <w:r>
        <w:rPr>
          <w:rFonts w:ascii="Calibri" w:cs="Calibri" w:eastAsia="Calibri" w:hAnsi="Calibri"/>
          <w:color w:val="1A1A1A"/>
          <w:sz w:val="20"/>
          <w:szCs w:val="20"/>
        </w:rPr>
        <w:t xml:space="preserve">Epidural analgesia, episiotomy, perineal tear, instrumental birth and prolonged second stage are consistently identified risk factors.</w:t>
      </w:r>
    </w:p>
    <w:p>
      <w:pPr>
        <w:pStyle w:val="ListParagraph"/>
        <w:numPr>
          <w:ilvl w:val="0"/>
          <w:numId w:val="2"/>
        </w:numPr>
        <w:spacing w:after="70" w:line="276"/>
      </w:pPr>
      <w:r>
        <w:rPr>
          <w:rFonts w:ascii="Calibri" w:cs="Calibri" w:eastAsia="Calibri" w:hAnsi="Calibri"/>
          <w:color w:val="1A1A1A"/>
          <w:sz w:val="20"/>
          <w:szCs w:val="20"/>
        </w:rPr>
        <w:t xml:space="preserve">Bladder rupture from unrecognised retention is rare but life-threatening and entirely preventable (AJOG expert review, 2022).</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6E93A6"/>
          <w:sz w:val="26"/>
          <w:szCs w:val="26"/>
        </w:rPr>
        <w:t xml:space="preserve">10  </w:t>
      </w:r>
      <w:r>
        <w:rPr>
          <w:rFonts w:ascii="Calibri" w:cs="Calibri" w:eastAsia="Calibri" w:hAnsi="Calibri"/>
          <w:b/>
          <w:bCs/>
          <w:color w:val="14435C"/>
          <w:sz w:val="26"/>
          <w:szCs w:val="26"/>
        </w:rPr>
        <w:t xml:space="preserve">Cardiac complications</w:t>
      </w:r>
    </w:p>
    <w:p>
      <w:pPr>
        <w:keepNext/>
        <w:spacing w:after="160"/>
      </w:pPr>
      <w:r>
        <w:rPr>
          <w:rFonts w:ascii="Calibri" w:cs="Calibri" w:eastAsia="Calibri" w:hAnsi="Calibri"/>
          <w:i/>
          <w:iCs/>
          <w:color w:val="6B6B6B"/>
          <w:sz w:val="18"/>
          <w:szCs w:val="18"/>
        </w:rPr>
        <w:t xml:space="preserve">Risk window  ·  Peripartum cardiomyopathy from the last month of pregnancy to five months postpartum; amniotic fluid embolism peripartum</w:t>
      </w:r>
    </w:p>
    <w:p>
      <w:pPr>
        <w:spacing w:after="140" w:line="288"/>
        <w:jc w:val="left"/>
      </w:pPr>
      <w:r>
        <w:rPr>
          <w:rFonts w:ascii="Cambria" w:cs="Cambria" w:eastAsia="Cambria" w:hAnsi="Cambria"/>
          <w:i w:val="false"/>
          <w:iCs w:val="false"/>
          <w:color w:val="1A1A1A"/>
          <w:sz w:val="21"/>
          <w:szCs w:val="21"/>
        </w:rPr>
        <w:t xml:space="preserve">Cardiovascular disease is now the leading non-obstetric cause of maternal death in most high-income settings. Peripartum cardiomyopathy is a de novo heart failure presenting late in pregnancy or in the months after birth, in women with no cardiac history. Its early symptoms — breathlessness, fatigue, orthopnoea, ankle oedema — are indistinguishable from normal late pregnancy and normal postnatal recovery, which is precisely why diagnosis is delayed.</w:t>
      </w:r>
    </w:p>
    <w:p>
      <w:pPr>
        <w:spacing w:after="140" w:line="288"/>
        <w:jc w:val="left"/>
      </w:pPr>
      <w:r>
        <w:rPr>
          <w:rFonts w:ascii="Cambria" w:cs="Cambria" w:eastAsia="Cambria" w:hAnsi="Cambria"/>
          <w:i w:val="false"/>
          <w:iCs w:val="false"/>
          <w:color w:val="1A1A1A"/>
          <w:sz w:val="21"/>
          <w:szCs w:val="21"/>
        </w:rPr>
        <w:t xml:space="preserve">Amniotic fluid embolism, arrhythmia and postpartum pulmonary oedema, particularly in the context of pre-eclampsia and fluid loading, complete the picture. A postnatal woman who cannot lie flat needs an echocardiogram, not reassurance.</w:t>
      </w:r>
    </w:p>
    <w:p>
      <w:pPr>
        <w:spacing w:after="100" w:before="120"/>
      </w:pPr>
      <w:r>
        <w:rPr>
          <w:rFonts w:ascii="Calibri" w:cs="Calibri" w:eastAsia="Calibri" w:hAnsi="Calibri"/>
          <w:b/>
          <w:bCs/>
          <w:color w:val="14435C"/>
          <w:spacing w:val="60"/>
          <w:sz w:val="15"/>
          <w:szCs w:val="15"/>
        </w:rPr>
        <w:t xml:space="preserve">KEY FIGURES</w:t>
      </w:r>
    </w:p>
    <w:p>
      <w:pPr>
        <w:pStyle w:val="ListParagraph"/>
        <w:numPr>
          <w:ilvl w:val="0"/>
          <w:numId w:val="2"/>
        </w:numPr>
        <w:spacing w:after="70" w:line="276"/>
      </w:pPr>
      <w:r>
        <w:rPr>
          <w:rFonts w:ascii="Calibri" w:cs="Calibri" w:eastAsia="Calibri" w:hAnsi="Calibri"/>
          <w:color w:val="1A1A1A"/>
          <w:sz w:val="20"/>
          <w:szCs w:val="20"/>
        </w:rPr>
        <w:t xml:space="preserve">Reported incidence of peripartum cardiomyopathy varies enormously by population — from about 1 in 100 live births in Nigeria to 1 in 15,533 in Japan.</w:t>
      </w:r>
    </w:p>
    <w:p>
      <w:pPr>
        <w:pStyle w:val="ListParagraph"/>
        <w:numPr>
          <w:ilvl w:val="0"/>
          <w:numId w:val="2"/>
        </w:numPr>
        <w:spacing w:after="70" w:line="276"/>
      </w:pPr>
      <w:r>
        <w:rPr>
          <w:rFonts w:ascii="Calibri" w:cs="Calibri" w:eastAsia="Calibri" w:hAnsi="Calibri"/>
          <w:color w:val="1A1A1A"/>
          <w:sz w:val="20"/>
          <w:szCs w:val="20"/>
        </w:rPr>
        <w:t xml:space="preserve">In a large diverse Northern Californian population the confirmed incidence was 4.84 per 10,000 live births, or about 1 in 2,066 births (Kaiser Permanente cohort).</w:t>
      </w:r>
    </w:p>
    <w:p>
      <w:pPr>
        <w:pStyle w:val="ListParagraph"/>
        <w:numPr>
          <w:ilvl w:val="0"/>
          <w:numId w:val="2"/>
        </w:numPr>
        <w:spacing w:after="70" w:line="276"/>
      </w:pPr>
      <w:r>
        <w:rPr>
          <w:rFonts w:ascii="Calibri" w:cs="Calibri" w:eastAsia="Calibri" w:hAnsi="Calibri"/>
          <w:color w:val="1A1A1A"/>
          <w:sz w:val="20"/>
          <w:szCs w:val="20"/>
        </w:rPr>
        <w:t xml:space="preserve">A 20-year Scottish study found an incidence of 1 in 4,950 deliveries, comparable to England.</w:t>
      </w:r>
    </w:p>
    <w:p>
      <w:pPr>
        <w:pStyle w:val="ListParagraph"/>
        <w:numPr>
          <w:ilvl w:val="0"/>
          <w:numId w:val="2"/>
        </w:numPr>
        <w:spacing w:after="70" w:line="276"/>
      </w:pPr>
      <w:r>
        <w:rPr>
          <w:rFonts w:ascii="Calibri" w:cs="Calibri" w:eastAsia="Calibri" w:hAnsi="Calibri"/>
          <w:color w:val="1A1A1A"/>
          <w:sz w:val="20"/>
          <w:szCs w:val="20"/>
        </w:rPr>
        <w:t xml:space="preserve">Roughly half of affected women recover left ventricular function by six months, rising to about 71% at one year.</w:t>
      </w:r>
    </w:p>
    <w:p>
      <w:pPr>
        <w:pStyle w:val="ListParagraph"/>
        <w:numPr>
          <w:ilvl w:val="0"/>
          <w:numId w:val="2"/>
        </w:numPr>
        <w:spacing w:after="70" w:line="276"/>
      </w:pPr>
      <w:r>
        <w:rPr>
          <w:rFonts w:ascii="Calibri" w:cs="Calibri" w:eastAsia="Calibri" w:hAnsi="Calibri"/>
          <w:color w:val="1A1A1A"/>
          <w:sz w:val="20"/>
          <w:szCs w:val="20"/>
        </w:rPr>
        <w:t xml:space="preserve">In 2023 US data, cardiovascular events accounted for around 29% of pregnancy-related deaths with a determined cause, ahead of haemorrhage (18.1%) and infection or sepsis (15.2%); cardiomyopathy alone accounted for about 10% (CDC, 2025).</w:t>
      </w:r>
    </w:p>
    <w:p>
      <w:pPr>
        <w:pBdr>
          <w:bottom w:val="single" w:color="C9D4DA" w:sz="6" w:space="1"/>
        </w:pBdr>
        <w:spacing w:after="40" w:before="160"/>
      </w:pPr>
      <w:r>
        <w:rPr>
          <w:sz w:val="2"/>
          <w:szCs w:val="2"/>
        </w:rPr>
        <w:t xml:space="preserve"/>
      </w:r>
    </w:p>
    <w:p>
      <w:pPr>
        <w:pStyle w:val="Heading2"/>
        <w:keepNext/>
        <w:spacing w:after="40" w:before="340"/>
      </w:pPr>
      <w:r>
        <w:rPr>
          <w:rFonts w:ascii="Calibri" w:cs="Calibri" w:eastAsia="Calibri" w:hAnsi="Calibri"/>
          <w:b/>
          <w:bCs/>
          <w:color w:val="14435C"/>
          <w:sz w:val="26"/>
          <w:szCs w:val="26"/>
        </w:rPr>
        <w:t xml:space="preserve">The neonatal counterpart</w:t>
      </w:r>
    </w:p>
    <w:p>
      <w:pPr>
        <w:spacing w:after="140" w:line="288"/>
        <w:jc w:val="left"/>
      </w:pPr>
      <w:r>
        <w:rPr>
          <w:rFonts w:ascii="Cambria" w:cs="Cambria" w:eastAsia="Cambria" w:hAnsi="Cambria"/>
          <w:i w:val="false"/>
          <w:iCs w:val="false"/>
          <w:color w:val="1A1A1A"/>
          <w:sz w:val="21"/>
          <w:szCs w:val="21"/>
        </w:rPr>
        <w:t xml:space="preserve">Postnatal care is care of a dyad, and the neonatal complication list runs on a parallel timeline. Each of the five below is a recognised cause of avoidable readmission or harm in the first fortnight of life, and each depends on the same follow-up infrastructure as the maternal list.</w:t>
      </w:r>
    </w:p>
    <w:p>
      <w:pPr>
        <w:pStyle w:val="ListParagraph"/>
        <w:numPr>
          <w:ilvl w:val="0"/>
          <w:numId w:val="2"/>
        </w:numPr>
        <w:spacing w:after="70" w:line="276"/>
      </w:pPr>
      <w:r>
        <w:rPr>
          <w:rFonts w:ascii="Calibri" w:cs="Calibri" w:eastAsia="Calibri" w:hAnsi="Calibri"/>
          <w:color w:val="1A1A1A"/>
          <w:sz w:val="20"/>
          <w:szCs w:val="20"/>
        </w:rPr>
        <w:t xml:space="preserve">Jaundice and hyperbilirubinaemia, including readmission for phototherapy.</w:t>
      </w:r>
    </w:p>
    <w:p>
      <w:pPr>
        <w:pStyle w:val="ListParagraph"/>
        <w:numPr>
          <w:ilvl w:val="0"/>
          <w:numId w:val="2"/>
        </w:numPr>
        <w:spacing w:after="70" w:line="276"/>
      </w:pPr>
      <w:r>
        <w:rPr>
          <w:rFonts w:ascii="Calibri" w:cs="Calibri" w:eastAsia="Calibri" w:hAnsi="Calibri"/>
          <w:color w:val="1A1A1A"/>
          <w:sz w:val="20"/>
          <w:szCs w:val="20"/>
        </w:rPr>
        <w:t xml:space="preserve">Feeding failure with excessive weight loss and hypernatraemic dehydration.</w:t>
      </w:r>
    </w:p>
    <w:p>
      <w:pPr>
        <w:pStyle w:val="ListParagraph"/>
        <w:numPr>
          <w:ilvl w:val="0"/>
          <w:numId w:val="2"/>
        </w:numPr>
        <w:spacing w:after="70" w:line="276"/>
      </w:pPr>
      <w:r>
        <w:rPr>
          <w:rFonts w:ascii="Calibri" w:cs="Calibri" w:eastAsia="Calibri" w:hAnsi="Calibri"/>
          <w:color w:val="1A1A1A"/>
          <w:sz w:val="20"/>
          <w:szCs w:val="20"/>
        </w:rPr>
        <w:t xml:space="preserve">Late-onset neonatal sepsis, most commonly group B streptococcus and Escherichia coli.</w:t>
      </w:r>
    </w:p>
    <w:p>
      <w:pPr>
        <w:pStyle w:val="ListParagraph"/>
        <w:numPr>
          <w:ilvl w:val="0"/>
          <w:numId w:val="2"/>
        </w:numPr>
        <w:spacing w:after="70" w:line="276"/>
      </w:pPr>
      <w:r>
        <w:rPr>
          <w:rFonts w:ascii="Calibri" w:cs="Calibri" w:eastAsia="Calibri" w:hAnsi="Calibri"/>
          <w:color w:val="1A1A1A"/>
          <w:sz w:val="20"/>
          <w:szCs w:val="20"/>
        </w:rPr>
        <w:t xml:space="preserve">Hypoglycaemia, particularly in infants of diabetic mothers and small or large for gestational age infants.</w:t>
      </w:r>
    </w:p>
    <w:p>
      <w:pPr>
        <w:pStyle w:val="ListParagraph"/>
        <w:numPr>
          <w:ilvl w:val="0"/>
          <w:numId w:val="2"/>
        </w:numPr>
        <w:spacing w:after="70" w:line="276"/>
      </w:pPr>
      <w:r>
        <w:rPr>
          <w:rFonts w:ascii="Calibri" w:cs="Calibri" w:eastAsia="Calibri" w:hAnsi="Calibri"/>
          <w:color w:val="1A1A1A"/>
          <w:sz w:val="20"/>
          <w:szCs w:val="20"/>
        </w:rPr>
        <w:t xml:space="preserve">Undetected duct-dependent congenital heart disease presenting after discharge.</w:t>
      </w:r>
    </w:p>
    <w:p>
      <w:pPr>
        <w:pBdr>
          <w:bottom w:val="single" w:color="C9D4DA" w:sz="6" w:space="1"/>
        </w:pBdr>
        <w:spacing w:after="40" w:before="200"/>
      </w:pPr>
      <w:r>
        <w:rPr>
          <w:sz w:val="2"/>
          <w:szCs w:val="2"/>
        </w:rPr>
        <w:t xml:space="preserve"/>
      </w:r>
    </w:p>
    <w:p>
      <w:pPr>
        <w:pStyle w:val="Heading2"/>
        <w:keepNext/>
        <w:spacing w:after="40" w:before="340"/>
      </w:pPr>
      <w:r>
        <w:rPr>
          <w:rFonts w:ascii="Calibri" w:cs="Calibri" w:eastAsia="Calibri" w:hAnsi="Calibri"/>
          <w:b/>
          <w:bCs/>
          <w:color w:val="14435C"/>
          <w:sz w:val="26"/>
          <w:szCs w:val="26"/>
        </w:rPr>
        <w:t xml:space="preserve">The complication that does not appear on clinical lists</w:t>
      </w:r>
    </w:p>
    <w:p>
      <w:pPr>
        <w:spacing w:after="140" w:line="288"/>
        <w:jc w:val="left"/>
      </w:pPr>
      <w:r>
        <w:rPr>
          <w:rFonts w:ascii="Cambria" w:cs="Cambria" w:eastAsia="Cambria" w:hAnsi="Cambria"/>
          <w:i w:val="false"/>
          <w:iCs w:val="false"/>
          <w:color w:val="1A1A1A"/>
          <w:sz w:val="21"/>
          <w:szCs w:val="21"/>
        </w:rPr>
        <w:t xml:space="preserve">Read the risk windows above in sequence and a pattern emerges that has nothing to do with pathophysiology. Blood pressure peaks at day 3 to day 6. Secondary haemorrhage runs from 24 hours to 12 weeks. Endometritis and wound infection cluster around day 4 to day 14. Venous thromboembolism peaks in the first week and stays elevated for six. Mastitis peaks at two to three weeks. Postpartum psychosis usually declares itself in the first fortnight.</w:t>
      </w:r>
    </w:p>
    <w:p>
      <w:pPr>
        <w:spacing w:after="140" w:line="288"/>
        <w:jc w:val="left"/>
      </w:pPr>
      <w:r>
        <w:rPr>
          <w:rFonts w:ascii="Cambria" w:cs="Cambria" w:eastAsia="Cambria" w:hAnsi="Cambria"/>
          <w:i w:val="false"/>
          <w:iCs w:val="false"/>
          <w:color w:val="1A1A1A"/>
          <w:sz w:val="21"/>
          <w:szCs w:val="21"/>
        </w:rPr>
        <w:t xml:space="preserve">Discharge in most Australian services occurs somewhere between 24 and 48 hours after an uncomplicated vaginal birth. Almost the entire peak-risk window for the conditions on this list therefore sits outside direct clinical observation, and the person responsible for recognising the red flags is a sleep-deprived woman in the first fortnight of caring for a newborn, working from a discharge conversation she had while still bleeding.</w:t>
      </w:r>
    </w:p>
    <w:p>
      <w:pPr>
        <w:spacing w:after="140" w:line="288"/>
        <w:jc w:val="left"/>
      </w:pPr>
      <w:r>
        <w:rPr>
          <w:rFonts w:ascii="Cambria" w:cs="Cambria" w:eastAsia="Cambria" w:hAnsi="Cambria"/>
          <w:i w:val="false"/>
          <w:iCs w:val="false"/>
          <w:color w:val="1A1A1A"/>
          <w:sz w:val="21"/>
          <w:szCs w:val="21"/>
        </w:rPr>
        <w:t xml:space="preserve">That is the actual failure mode, and it is a system design problem rather than a knowledge problem. Two-thirds of women readmitted with postpartum hypertension had no antenatal hypertensive diagnosis to flag them. Nearly half of de novo postpartum hypertension is diagnosed after discharge. Around 40% of women readmitted for pre-eclampsia had already attended an outpatient postnatal visit before deteriorating. Screening tools and education packages do not fix a surveillance gap; scheduled review inside the risk window does.</w:t>
      </w:r>
    </w:p>
    <w:p>
      <w:pPr>
        <w:pBdr>
          <w:bottom w:val="single" w:color="C9D4DA" w:sz="6" w:space="1"/>
        </w:pBdr>
        <w:spacing w:after="40" w:before="240"/>
      </w:pPr>
      <w:r>
        <w:rPr>
          <w:sz w:val="2"/>
          <w:szCs w:val="2"/>
        </w:rPr>
        <w:t xml:space="preserve"/>
      </w:r>
    </w:p>
    <w:p>
      <w:pPr>
        <w:pStyle w:val="Heading2"/>
        <w:keepNext/>
        <w:spacing w:after="120" w:before="300"/>
      </w:pPr>
      <w:r>
        <w:rPr>
          <w:rFonts w:ascii="Calibri" w:cs="Calibri" w:eastAsia="Calibri" w:hAnsi="Calibri"/>
          <w:b/>
          <w:bCs/>
          <w:color w:val="14435C"/>
          <w:sz w:val="26"/>
          <w:szCs w:val="26"/>
        </w:rPr>
        <w:t xml:space="preserve">Sources</w:t>
      </w:r>
    </w:p>
    <w:p>
      <w:pPr>
        <w:spacing w:after="140" w:line="288"/>
        <w:jc w:val="left"/>
      </w:pPr>
      <w:r>
        <w:rPr>
          <w:rFonts w:ascii="Cambria" w:cs="Cambria" w:eastAsia="Cambria" w:hAnsi="Cambria"/>
          <w:i/>
          <w:iCs/>
          <w:color w:val="6B6B6B"/>
          <w:sz w:val="19"/>
          <w:szCs w:val="19"/>
        </w:rPr>
        <w:t xml:space="preserve">Figures are drawn from the following. Where a range is quoted it reflects genuine variation in definition or population rather than uncertainty about the underlying source.</w:t>
      </w:r>
    </w:p>
    <w:p>
      <w:pPr>
        <w:spacing w:after="80" w:line="264"/>
        <w:ind w:left="340" w:hanging="340"/>
      </w:pPr>
      <w:r>
        <w:rPr>
          <w:rFonts w:ascii="Calibri" w:cs="Calibri" w:eastAsia="Calibri" w:hAnsi="Calibri"/>
          <w:color w:val="1A1A1A"/>
          <w:sz w:val="18"/>
          <w:szCs w:val="18"/>
        </w:rPr>
        <w:t xml:space="preserve">Australian Institute of Health and Welfare. Australia's mothers and babies: Maternal deaths. AIHW, 2025.</w:t>
      </w:r>
    </w:p>
    <w:p>
      <w:pPr>
        <w:spacing w:after="80" w:line="264"/>
        <w:ind w:left="340" w:hanging="340"/>
      </w:pPr>
      <w:r>
        <w:rPr>
          <w:rFonts w:ascii="Calibri" w:cs="Calibri" w:eastAsia="Calibri" w:hAnsi="Calibri"/>
          <w:color w:val="1A1A1A"/>
          <w:sz w:val="18"/>
          <w:szCs w:val="18"/>
        </w:rPr>
        <w:t xml:space="preserve">Bailey NA, et al. World postpartum haemorrhage day: renewing the global call to end deaths from postpartum haemorrhage. BJOG / IJGO, 2025.</w:t>
      </w:r>
    </w:p>
    <w:p>
      <w:pPr>
        <w:spacing w:after="80" w:line="264"/>
        <w:ind w:left="340" w:hanging="340"/>
      </w:pPr>
      <w:r>
        <w:rPr>
          <w:rFonts w:ascii="Calibri" w:cs="Calibri" w:eastAsia="Calibri" w:hAnsi="Calibri"/>
          <w:color w:val="1A1A1A"/>
          <w:sz w:val="18"/>
          <w:szCs w:val="18"/>
        </w:rPr>
        <w:t xml:space="preserve">World Health Organization. Global health agencies issue new recommendations to help end deaths from postpartum haemorrhage. Geneva: WHO, 05 Oct 2025.</w:t>
      </w:r>
    </w:p>
    <w:p>
      <w:pPr>
        <w:spacing w:after="80" w:line="264"/>
        <w:ind w:left="340" w:hanging="340"/>
      </w:pPr>
      <w:r>
        <w:rPr>
          <w:rFonts w:ascii="Calibri" w:cs="Calibri" w:eastAsia="Calibri" w:hAnsi="Calibri"/>
          <w:color w:val="1A1A1A"/>
          <w:sz w:val="18"/>
          <w:szCs w:val="18"/>
        </w:rPr>
        <w:t xml:space="preserve">World Health Organization. Second global call for data on postpartum haemorrhage. Geneva: WHO, 2024.</w:t>
      </w:r>
    </w:p>
    <w:p>
      <w:pPr>
        <w:spacing w:after="80" w:line="264"/>
        <w:ind w:left="340" w:hanging="340"/>
      </w:pPr>
      <w:r>
        <w:rPr>
          <w:rFonts w:ascii="Calibri" w:cs="Calibri" w:eastAsia="Calibri" w:hAnsi="Calibri"/>
          <w:color w:val="1A1A1A"/>
          <w:sz w:val="18"/>
          <w:szCs w:val="18"/>
        </w:rPr>
        <w:t xml:space="preserve">Woodd SL, et al. Incidence of maternal peripartum infection: a systematic review and meta-analysis. PLoS Medicine, 2019;16(12):e1002984.</w:t>
      </w:r>
    </w:p>
    <w:p>
      <w:pPr>
        <w:spacing w:after="80" w:line="264"/>
        <w:ind w:left="340" w:hanging="340"/>
      </w:pPr>
      <w:r>
        <w:rPr>
          <w:rFonts w:ascii="Calibri" w:cs="Calibri" w:eastAsia="Calibri" w:hAnsi="Calibri"/>
          <w:color w:val="1A1A1A"/>
          <w:sz w:val="18"/>
          <w:szCs w:val="18"/>
        </w:rPr>
        <w:t xml:space="preserve">Jackson E, Curtis KM, Gaffield ME. Risk of venous thromboembolism during the postpartum period: a systematic review. Obstetrics &amp; Gynecology, 2011;117(3):691-703.</w:t>
      </w:r>
    </w:p>
    <w:p>
      <w:pPr>
        <w:spacing w:after="80" w:line="264"/>
        <w:ind w:left="340" w:hanging="340"/>
      </w:pPr>
      <w:r>
        <w:rPr>
          <w:rFonts w:ascii="Calibri" w:cs="Calibri" w:eastAsia="Calibri" w:hAnsi="Calibri"/>
          <w:color w:val="1A1A1A"/>
          <w:sz w:val="18"/>
          <w:szCs w:val="18"/>
        </w:rPr>
        <w:t xml:space="preserve">Galambosi PJ, et al. Incidence and risk factors of venous thromboembolism during the postpartum period: a population-based cohort study. Acta Obstetricia et Gynecologica Scandinavica, 2017.</w:t>
      </w:r>
    </w:p>
    <w:p>
      <w:pPr>
        <w:spacing w:after="80" w:line="264"/>
        <w:ind w:left="340" w:hanging="340"/>
      </w:pPr>
      <w:r>
        <w:rPr>
          <w:rFonts w:ascii="Calibri" w:cs="Calibri" w:eastAsia="Calibri" w:hAnsi="Calibri"/>
          <w:color w:val="1A1A1A"/>
          <w:sz w:val="18"/>
          <w:szCs w:val="18"/>
        </w:rPr>
        <w:t xml:space="preserve">Tepper NK, et al. Postpartum venous thromboembolism: incidence and risk factors. Obstetrics &amp; Gynecology, 2014;123(5):987-996.</w:t>
      </w:r>
    </w:p>
    <w:p>
      <w:pPr>
        <w:spacing w:after="80" w:line="264"/>
        <w:ind w:left="340" w:hanging="340"/>
      </w:pPr>
      <w:r>
        <w:rPr>
          <w:rFonts w:ascii="Calibri" w:cs="Calibri" w:eastAsia="Calibri" w:hAnsi="Calibri"/>
          <w:color w:val="1A1A1A"/>
          <w:sz w:val="18"/>
          <w:szCs w:val="18"/>
        </w:rPr>
        <w:t xml:space="preserve">Kamel H, et al. Risk of a thrombotic event after the 6-week postpartum period. New England Journal of Medicine, 2014;370:1307-1315.</w:t>
      </w:r>
    </w:p>
    <w:p>
      <w:pPr>
        <w:spacing w:after="80" w:line="264"/>
        <w:ind w:left="340" w:hanging="340"/>
      </w:pPr>
      <w:r>
        <w:rPr>
          <w:rFonts w:ascii="Calibri" w:cs="Calibri" w:eastAsia="Calibri" w:hAnsi="Calibri"/>
          <w:color w:val="1A1A1A"/>
          <w:sz w:val="18"/>
          <w:szCs w:val="18"/>
        </w:rPr>
        <w:t xml:space="preserve">Sultan AA, et al. The incidence of first venous thromboembolism in and around pregnancy. PLoS ONE / Br J Haematol, 2013.</w:t>
      </w:r>
    </w:p>
    <w:p>
      <w:pPr>
        <w:spacing w:after="80" w:line="264"/>
        <w:ind w:left="340" w:hanging="340"/>
      </w:pPr>
      <w:r>
        <w:rPr>
          <w:rFonts w:ascii="Calibri" w:cs="Calibri" w:eastAsia="Calibri" w:hAnsi="Calibri"/>
          <w:color w:val="1A1A1A"/>
          <w:sz w:val="18"/>
          <w:szCs w:val="18"/>
        </w:rPr>
        <w:t xml:space="preserve">Centre for Perinatal Excellence (COPE). Mental Health Care in the Perinatal Period: Australian Clinical Practice Guideline. COPE, 2023.</w:t>
      </w:r>
    </w:p>
    <w:p>
      <w:pPr>
        <w:spacing w:after="80" w:line="264"/>
        <w:ind w:left="340" w:hanging="340"/>
      </w:pPr>
      <w:r>
        <w:rPr>
          <w:rFonts w:ascii="Calibri" w:cs="Calibri" w:eastAsia="Calibri" w:hAnsi="Calibri"/>
          <w:color w:val="1A1A1A"/>
          <w:sz w:val="18"/>
          <w:szCs w:val="18"/>
        </w:rPr>
        <w:t xml:space="preserve">Reid HE, et al. / AIHW. Maternal deaths by suicide in Queensland, Australia, 2004-2017. Archives of Women's Mental Health, 2021.</w:t>
      </w:r>
    </w:p>
    <w:p>
      <w:pPr>
        <w:spacing w:after="80" w:line="264"/>
        <w:ind w:left="340" w:hanging="340"/>
      </w:pPr>
      <w:r>
        <w:rPr>
          <w:rFonts w:ascii="Calibri" w:cs="Calibri" w:eastAsia="Calibri" w:hAnsi="Calibri"/>
          <w:color w:val="1A1A1A"/>
          <w:sz w:val="18"/>
          <w:szCs w:val="18"/>
        </w:rPr>
        <w:t xml:space="preserve">Amir LH. Lactational mastitis and breast abscess. Australian Family Physician / RACGP.</w:t>
      </w:r>
    </w:p>
    <w:p>
      <w:pPr>
        <w:spacing w:after="80" w:line="264"/>
        <w:ind w:left="340" w:hanging="340"/>
      </w:pPr>
      <w:r>
        <w:rPr>
          <w:rFonts w:ascii="Calibri" w:cs="Calibri" w:eastAsia="Calibri" w:hAnsi="Calibri"/>
          <w:color w:val="1A1A1A"/>
          <w:sz w:val="18"/>
          <w:szCs w:val="18"/>
        </w:rPr>
        <w:t xml:space="preserve">World Health Organization. Guideline: Iron supplementation in postpartum women. Geneva: WHO.</w:t>
      </w:r>
    </w:p>
    <w:p>
      <w:pPr>
        <w:spacing w:after="80" w:line="264"/>
        <w:ind w:left="340" w:hanging="340"/>
      </w:pPr>
      <w:r>
        <w:rPr>
          <w:rFonts w:ascii="Calibri" w:cs="Calibri" w:eastAsia="Calibri" w:hAnsi="Calibri"/>
          <w:color w:val="1A1A1A"/>
          <w:sz w:val="18"/>
          <w:szCs w:val="18"/>
        </w:rPr>
        <w:t xml:space="preserve">Ampt AJ, Roberts CL, Morris JM, Ford JB. The impact of first birth obstetric anal sphincter injury on the subsequent birth: a population-based linkage study. BMC Pregnancy and Childbirth, 2015;15:31.</w:t>
      </w:r>
    </w:p>
    <w:p>
      <w:pPr>
        <w:spacing w:after="80" w:line="264"/>
        <w:ind w:left="340" w:hanging="340"/>
      </w:pPr>
      <w:r>
        <w:rPr>
          <w:rFonts w:ascii="Calibri" w:cs="Calibri" w:eastAsia="Calibri" w:hAnsi="Calibri"/>
          <w:color w:val="1A1A1A"/>
          <w:sz w:val="18"/>
          <w:szCs w:val="18"/>
        </w:rPr>
        <w:t xml:space="preserve">Royal College of Obstetricians and Gynaecologists. The Management of Third- and Fourth-Degree Perineal Tears. Green-top Guideline No. 29.</w:t>
      </w:r>
    </w:p>
    <w:p>
      <w:pPr>
        <w:spacing w:after="80" w:line="264"/>
        <w:ind w:left="340" w:hanging="340"/>
      </w:pPr>
      <w:r>
        <w:rPr>
          <w:rFonts w:ascii="Calibri" w:cs="Calibri" w:eastAsia="Calibri" w:hAnsi="Calibri"/>
          <w:color w:val="1A1A1A"/>
          <w:sz w:val="18"/>
          <w:szCs w:val="18"/>
        </w:rPr>
        <w:t xml:space="preserve">Cao D, et al. Prevalence and risk factors of overt postpartum urinary retention among primiparous women after vaginal delivery. BMC Pregnancy and Childbirth, 2022;22:26.</w:t>
      </w:r>
    </w:p>
    <w:p>
      <w:pPr>
        <w:spacing w:after="80" w:line="264"/>
        <w:ind w:left="340" w:hanging="340"/>
      </w:pPr>
      <w:r>
        <w:rPr>
          <w:rFonts w:ascii="Calibri" w:cs="Calibri" w:eastAsia="Calibri" w:hAnsi="Calibri"/>
          <w:color w:val="1A1A1A"/>
          <w:sz w:val="18"/>
          <w:szCs w:val="18"/>
        </w:rPr>
        <w:t xml:space="preserve">Mulder FEM, et al. / Neron M, et al. Postpartum urinary retention: an expert review. American Journal of Obstetrics &amp; Gynecology, 2022.</w:t>
      </w:r>
    </w:p>
    <w:p>
      <w:pPr>
        <w:spacing w:after="80" w:line="264"/>
        <w:ind w:left="340" w:hanging="340"/>
      </w:pPr>
      <w:r>
        <w:rPr>
          <w:rFonts w:ascii="Calibri" w:cs="Calibri" w:eastAsia="Calibri" w:hAnsi="Calibri"/>
          <w:color w:val="1A1A1A"/>
          <w:sz w:val="18"/>
          <w:szCs w:val="18"/>
        </w:rPr>
        <w:t xml:space="preserve">Kolte D, et al. / Kaiser Permanente cohort. Epidemiology of peripartum cardiomyopathy: incidence, predictors, and outcomes. Obstetrics &amp; Gynecology, 2011.</w:t>
      </w:r>
    </w:p>
    <w:p>
      <w:pPr>
        <w:spacing w:after="80" w:line="264"/>
        <w:ind w:left="340" w:hanging="340"/>
      </w:pPr>
      <w:r>
        <w:rPr>
          <w:rFonts w:ascii="Calibri" w:cs="Calibri" w:eastAsia="Calibri" w:hAnsi="Calibri"/>
          <w:color w:val="1A1A1A"/>
          <w:sz w:val="18"/>
          <w:szCs w:val="18"/>
        </w:rPr>
        <w:t xml:space="preserve">Jackson AM, et al. Peripartum cardiomyopathy: a 20-year Scottish population study. European Journal of Heart Failure, 2023.</w:t>
      </w:r>
    </w:p>
    <w:sectPr>
      <w:footerReference w:type="default" r:id="rId7"/>
      <w:pgSz w:w="11906" w:h="16838"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A" w:sz="4" w:space="6"/>
      </w:pBdr>
      <w:tabs>
        <w:tab w:val="right" w:pos="9026"/>
      </w:tabs>
    </w:pPr>
    <w:r>
      <w:rPr>
        <w:rFonts w:ascii="Calibri" w:cs="Calibri" w:eastAsia="Calibri" w:hAnsi="Calibri"/>
        <w:color w:val="6B6B6B"/>
        <w:sz w:val="15"/>
        <w:szCs w:val="15"/>
      </w:rPr>
      <w:t xml:space="preserve">The Ten Complications of Postnatal Care</w:t>
    </w:r>
    <w:r>
      <w:rPr>
        <w:sz w:val="15"/>
        <w:szCs w:val="15"/>
      </w:rPr>
      <w:t xml:space="preserv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6E93A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Ten Complications of Postnatal Care</dc:title>
  <dc:creator>Bradley Chesham</dc:creator>
  <dc:description>Clinical reference — maternal complications of the postnatal period</dc:description>
  <cp:lastModifiedBy>Un-named</cp:lastModifiedBy>
  <cp:revision>1</cp:revision>
  <dcterms:created xsi:type="dcterms:W3CDTF">2026-09-03T13:52:27.252Z</dcterms:created>
  <dcterms:modified xsi:type="dcterms:W3CDTF">2026-09-03T13:52:27.264Z</dcterms:modified>
</cp:coreProperties>
</file>

<file path=docProps/custom.xml><?xml version="1.0" encoding="utf-8"?>
<Properties xmlns="http://schemas.openxmlformats.org/officeDocument/2006/custom-properties" xmlns:vt="http://schemas.openxmlformats.org/officeDocument/2006/docPropsVTypes"/>
</file>