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537" w:rsidRPr="00FF5C81" w:rsidRDefault="005577A1">
      <w:pPr>
        <w:rPr>
          <w:iCs/>
        </w:rPr>
      </w:pPr>
      <w:r w:rsidRPr="00FF5C81">
        <w:rPr>
          <w:rFonts w:ascii="Times New Roman" w:hAnsi="Times New Roman" w:cs="Times New Roman"/>
          <w:iCs/>
          <w:color w:val="000000" w:themeColor="text1"/>
        </w:rPr>
        <w:t>The mean activities at early stage (</w:t>
      </w:r>
      <w:r w:rsidRPr="00694F2F">
        <w:rPr>
          <w:rFonts w:ascii="Times New Roman" w:hAnsi="Times New Roman" w:cs="Times New Roman"/>
          <w:color w:val="000000" w:themeColor="text1"/>
        </w:rPr>
        <w:t xml:space="preserve">the smallest median RT of the six conditions, i.e., 410 </w:t>
      </w:r>
      <w:proofErr w:type="spellStart"/>
      <w:r w:rsidRPr="00694F2F">
        <w:rPr>
          <w:rFonts w:ascii="Times New Roman" w:hAnsi="Times New Roman" w:cs="Times New Roman"/>
          <w:color w:val="000000" w:themeColor="text1"/>
        </w:rPr>
        <w:t>ms</w:t>
      </w:r>
      <w:proofErr w:type="spellEnd"/>
      <w:r w:rsidRPr="00694F2F">
        <w:rPr>
          <w:rFonts w:ascii="Times New Roman" w:hAnsi="Times New Roman" w:cs="Times New Roman"/>
          <w:color w:val="000000" w:themeColor="text1"/>
        </w:rPr>
        <w:t xml:space="preserve"> after the onset of stimulus,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a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and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b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 and at the onset of model choice (indicated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and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>)</w:t>
      </w:r>
      <w:r w:rsidRPr="00830AC0">
        <w:rPr>
          <w:rFonts w:ascii="Times New Roman" w:hAnsi="Times New Roman" w:cs="Times New Roman"/>
          <w:color w:val="000000" w:themeColor="text1"/>
        </w:rPr>
        <w:t xml:space="preserve">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were examined in the following panels. </w:t>
      </w:r>
      <w:r w:rsidRPr="00EB6A66">
        <w:rPr>
          <w:rFonts w:ascii="Times New Roman" w:hAnsi="Times New Roman" w:cs="Times New Roman"/>
          <w:b/>
          <w:color w:val="000000" w:themeColor="text1"/>
        </w:rPr>
        <w:t>E</w:t>
      </w:r>
      <w:r w:rsidRPr="00FF5C81">
        <w:rPr>
          <w:rFonts w:ascii="Times New Roman" w:hAnsi="Times New Roman" w:cs="Times New Roman"/>
          <w:bCs/>
          <w:i/>
          <w:color w:val="000000" w:themeColor="text1"/>
        </w:rPr>
        <w:t>.</w:t>
      </w:r>
      <w:r w:rsidRPr="00EB6A6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Quantification of the best-fit-to-behavior model prediction (dots and lines) to the empirical recordings (crosses). 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Upper panel: the early-stage activities at the median RT indicated by arrows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a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(chosen side) and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b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(unchosen side). Lower panel: the late-stage activities aligned to the onset of model choice (30 </w:t>
      </w:r>
      <w:proofErr w:type="spellStart"/>
      <w:r w:rsidRPr="00FF5C81">
        <w:rPr>
          <w:rFonts w:ascii="Times New Roman" w:hAnsi="Times New Roman" w:cs="Times New Roman"/>
          <w:iCs/>
          <w:color w:val="000000" w:themeColor="text1"/>
        </w:rPr>
        <w:t>ms</w:t>
      </w:r>
      <w:proofErr w:type="spellEnd"/>
      <w:r w:rsidRPr="00FF5C81">
        <w:rPr>
          <w:rFonts w:ascii="Times New Roman" w:hAnsi="Times New Roman" w:cs="Times New Roman"/>
          <w:iCs/>
          <w:color w:val="000000" w:themeColor="text1"/>
        </w:rPr>
        <w:t xml:space="preserve"> before saccade) indicated by arrows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(chosen side) and </w:t>
      </w:r>
      <w:r w:rsidRPr="00FF5C81">
        <w:rPr>
          <w:rFonts w:ascii="Times New Roman" w:hAnsi="Times New Roman" w:cs="Times New Roman"/>
          <w:b/>
          <w:iCs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(unchosen side). The model activities were rescaled to the threshold of the empirical activities, i.e., the mean activity across coherences indicated at arrow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root-mean-square error (RMSE) between the data and the model at the median RT and at the choice onset were calculated and indicated on the panels.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F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model predicted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 dynamics show faster decreasing on the chosen units than the unchosen units, indicating that the chosen units are more strongly disinhibited.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Because of the gradually increasing disinhibition, the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at the early stage decrease after a peak (~330 </w:t>
      </w:r>
      <w:proofErr w:type="spellStart"/>
      <w:r w:rsidRPr="00FF5C81">
        <w:rPr>
          <w:rFonts w:ascii="Times New Roman" w:hAnsi="Times New Roman" w:cs="Times New Roman"/>
          <w:iCs/>
          <w:color w:val="000000" w:themeColor="text1"/>
        </w:rPr>
        <w:t>ms</w:t>
      </w:r>
      <w:proofErr w:type="spellEnd"/>
      <w:r w:rsidRPr="00FF5C81">
        <w:rPr>
          <w:rFonts w:ascii="Times New Roman" w:hAnsi="Times New Roman" w:cs="Times New Roman"/>
          <w:iCs/>
          <w:color w:val="000000" w:themeColor="text1"/>
        </w:rPr>
        <w:t xml:space="preserve"> after stimulus onset). The chosen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 show faster decreasing than the unchosen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>). Mixed with the impact of excitatory input strength, the chosen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a</w:t>
      </w:r>
      <w:r w:rsidRPr="00FF5C81">
        <w:rPr>
          <w:rFonts w:ascii="Times New Roman" w:hAnsi="Times New Roman" w:cs="Times New Roman"/>
          <w:iCs/>
          <w:color w:val="000000" w:themeColor="text1"/>
        </w:rPr>
        <w:t>) and unchosen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b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increase and decrease with input strength with different slops because of disinhibition, different from the </w:t>
      </w:r>
      <w:r w:rsidRPr="00412549">
        <w:rPr>
          <w:rFonts w:ascii="Times New Roman" w:hAnsi="Times New Roman" w:cs="Times New Roman"/>
          <w:i/>
          <w:color w:val="000000" w:themeColor="text1"/>
        </w:rPr>
        <w:t>R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units. At the onset of model choice, the chosen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>) show lower activities than the unchosen units (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); the </w:t>
      </w:r>
      <w:r w:rsidRPr="00412549">
        <w:rPr>
          <w:rFonts w:ascii="Times New Roman" w:hAnsi="Times New Roman" w:cs="Times New Roman"/>
          <w:i/>
          <w:color w:val="000000" w:themeColor="text1"/>
        </w:rPr>
        <w:t>G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under smaller input differences (i.e., longer RT) are strongly inhibited.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H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The model predicted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ramp up fast in the early stage; the chosen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do not reach a common threshold, different from the </w:t>
      </w:r>
      <w:r w:rsidRPr="00726E8C">
        <w:rPr>
          <w:rFonts w:ascii="Times New Roman" w:hAnsi="Times New Roman" w:cs="Times New Roman"/>
          <w:i/>
          <w:color w:val="000000" w:themeColor="text1"/>
        </w:rPr>
        <w:t>R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units. The chosen units reach higher than the unchosen units, indicating stronger disinhibition to the chosen side than the unchosen side.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I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. At the early stage (same time as in </w:t>
      </w:r>
      <w:r w:rsidRPr="00FF5C81">
        <w:rPr>
          <w:rFonts w:ascii="Times New Roman" w:hAnsi="Times New Roman" w:cs="Times New Roman"/>
          <w:b/>
          <w:bCs/>
          <w:iCs/>
          <w:color w:val="000000" w:themeColor="text1"/>
        </w:rPr>
        <w:t>E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), the chosen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are barely tuned to input strength, the unchosen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activities are more strongly tuned to input strength; at the time of model choice, </w:t>
      </w:r>
      <w:r w:rsidRPr="00412549">
        <w:rPr>
          <w:rFonts w:ascii="Times New Roman" w:hAnsi="Times New Roman" w:cs="Times New Roman"/>
          <w:i/>
          <w:color w:val="000000" w:themeColor="text1"/>
        </w:rPr>
        <w:t>D</w:t>
      </w:r>
      <w:r w:rsidRPr="00FF5C81">
        <w:rPr>
          <w:rFonts w:ascii="Times New Roman" w:hAnsi="Times New Roman" w:cs="Times New Roman"/>
          <w:iCs/>
          <w:color w:val="000000" w:themeColor="text1"/>
        </w:rPr>
        <w:t xml:space="preserve"> units with smaller input difference (i.e., longer RT) activate more strongly, indicating stronger disinhibition for the trials with weaker decision evidence.</w:t>
      </w:r>
    </w:p>
    <w:sectPr w:rsidR="00E15537" w:rsidRPr="00FF5C81" w:rsidSect="0069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A1"/>
    <w:rsid w:val="000D237B"/>
    <w:rsid w:val="00214955"/>
    <w:rsid w:val="002F166E"/>
    <w:rsid w:val="00412549"/>
    <w:rsid w:val="005577A1"/>
    <w:rsid w:val="005E37C7"/>
    <w:rsid w:val="00696AE2"/>
    <w:rsid w:val="00726E8C"/>
    <w:rsid w:val="008E61C4"/>
    <w:rsid w:val="009F35D0"/>
    <w:rsid w:val="00E15537"/>
    <w:rsid w:val="00E45568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D0D3"/>
  <w15:chartTrackingRefBased/>
  <w15:docId w15:val="{5DB0DC18-8362-1942-9EA0-50D64420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7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5E37C7"/>
    <w:pPr>
      <w:keepNext/>
      <w:keepLines/>
      <w:widowControl w:val="0"/>
      <w:spacing w:before="280" w:after="80"/>
      <w:jc w:val="both"/>
      <w:outlineLvl w:val="2"/>
    </w:pPr>
    <w:rPr>
      <w:rFonts w:ascii="Times New Roman" w:eastAsia="DengXian" w:hAnsi="Times New Roman" w:cs="DengXian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37C7"/>
    <w:pPr>
      <w:keepNext/>
      <w:keepLines/>
      <w:spacing w:before="40" w:line="360" w:lineRule="auto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37C7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5E37C7"/>
    <w:rPr>
      <w:rFonts w:ascii="Times New Roman" w:eastAsia="DengXian" w:hAnsi="Times New Roman" w:cs="DengXian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7C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2023</Characters>
  <Application>Microsoft Office Word</Application>
  <DocSecurity>0</DocSecurity>
  <Lines>16</Lines>
  <Paragraphs>4</Paragraphs>
  <ScaleCrop>false</ScaleCrop>
  <Company>NYU School of Medicine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Shen</dc:creator>
  <cp:keywords/>
  <dc:description/>
  <cp:lastModifiedBy>Bo Shen</cp:lastModifiedBy>
  <cp:revision>4</cp:revision>
  <dcterms:created xsi:type="dcterms:W3CDTF">2023-03-06T16:34:00Z</dcterms:created>
  <dcterms:modified xsi:type="dcterms:W3CDTF">2023-03-06T16:36:00Z</dcterms:modified>
</cp:coreProperties>
</file>