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55555555555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11111111</w:t>
      </w:r>
    </w:p>
    <w:p>
      <w:pPr>
        <w:pStyle w:val="Normal"/>
        <w:rPr/>
      </w:pPr>
      <w:r>
        <w:t>що проживає/зареєстрований за адресою: 22222222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Орендар: 333333333</w:t>
      </w:r>
    </w:p>
    <w:p>
      <w:pPr>
        <w:pStyle w:val="Normal"/>
        <w:rPr/>
      </w:pPr>
      <w:r>
        <w:t>що проживає/зареєстрований за адресою: 44444444444</w:t>
      </w:r>
    </w:p>
    <w:p>
      <w:pPr>
        <w:pStyle w:val="Normal"/>
        <w:rPr/>
      </w:pPr>
      <w:r/>
    </w:p>
    <w:p>
      <w:pPr>
        <w:pStyle w:val="Normal"/>
        <w:rPr/>
      </w:pPr>
      <w:r/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55555555555.</w:t>
      </w:r>
    </w:p>
    <w:p>
      <w:pPr>
        <w:pStyle w:val="Normal"/>
        <w:rPr/>
      </w:pPr>
      <w:r>
        <w:t>1.2. Короткий опис об’єкта: .</w:t>
      </w:r>
    </w:p>
    <w:p>
      <w:pPr>
        <w:pStyle w:val="Normal"/>
        <w:rPr/>
      </w:pPr>
      <w:r>
        <w:t>1.3. Загальна площа об’єкта становить 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7777777777777.</w:t>
      </w:r>
    </w:p>
    <w:p>
      <w:pPr>
        <w:pStyle w:val="Normal"/>
        <w:rPr/>
      </w:pPr>
      <w:r>
        <w:t>2.2. Договір діє до 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6666666666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 грн.</w:t>
      </w:r>
    </w:p>
    <w:p>
      <w:pPr>
        <w:pStyle w:val="Normal"/>
        <w:rPr/>
      </w:pPr>
      <w:r>
        <w:t>3.3. Орендар сплачує орендну плату щомісяця не пізніше 88888888888 числа поточного місяця шляхом переказу коштів на рахунок Орендодавця: 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