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圆形端面多芯光纤：四方法比较</w:t>
      </w:r>
    </w:p>
    <w:p>
      <w:r>
        <w:t>阶段汇报｜2026年10月4日修订｜呈佳伟老师</w:t>
      </w:r>
    </w:p>
    <w:p>
      <w:r>
        <w:t>佳伟老师：本阶段完成了圆形端面多芯光纤（MCF）的周期与非周期两类模拟，并在统一输入、初值和传播预算下比较 HIO、ER、RAAR 与 L-BFGS。16 项求解任务全部完成，几何检查和数值测试均通过。</w:t>
      </w:r>
    </w:p>
    <w:p>
      <w:pPr>
        <w:pStyle w:val="Heading2"/>
      </w:pPr>
      <w:r>
        <w:t>主要发现</w:t>
      </w:r>
    </w:p>
    <w:p>
      <w:r>
        <w:t>1. 无噪声时，两类布局均以 RAAR 的复场误差最低。</w:t>
      </w:r>
    </w:p>
    <w:p>
      <w:r>
        <w:t>2. 含噪声时，四种算法中 ER 的复场误差最低；但从 80 次增加到 200 次传播后，误差反而上升。</w:t>
      </w:r>
    </w:p>
    <w:p>
      <w:r>
        <w:t>3. 含噪声时，四种算法的相位误差均高于初始参考。当前结果提示，应继续检查噪声处理与停止准则。</w:t>
      </w:r>
    </w:p>
    <w:p>
      <w:pPr>
        <w:pStyle w:val="Heading2"/>
      </w:pPr>
      <w:r>
        <w:t>核心结果：复场误差，越小越好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cantSplit/>
          <w:tblHeader/>
        </w:trPr>
        <w:tc>
          <w:tcPr>
            <w:tcW w:type="dxa" w:w="1663"/>
          </w:tcPr>
          <w:p>
            <w:r>
              <w:rPr>
                <w:sz w:val="18"/>
              </w:rPr>
              <w:t>布局 / 测量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初始参考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HIO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ER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RAAR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L-BFGS</w:t>
            </w:r>
          </w:p>
        </w:tc>
      </w:tr>
      <w:tr>
        <w:trPr>
          <w:cantSplit/>
        </w:trPr>
        <w:tc>
          <w:tcPr>
            <w:tcW w:type="dxa" w:w="1663"/>
          </w:tcPr>
          <w:p>
            <w:r>
              <w:rPr>
                <w:sz w:val="18"/>
              </w:rPr>
              <w:t>周期 / 无噪声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0.6555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0.1489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0.1475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0.1182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0.2123</w:t>
            </w:r>
          </w:p>
        </w:tc>
      </w:tr>
      <w:tr>
        <w:trPr>
          <w:cantSplit/>
        </w:trPr>
        <w:tc>
          <w:tcPr>
            <w:tcW w:type="dxa" w:w="1663"/>
          </w:tcPr>
          <w:p>
            <w:r>
              <w:rPr>
                <w:sz w:val="18"/>
              </w:rPr>
              <w:t>非周期 / 无噪声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0.6739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0.1267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0.1292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0.1027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0.1523</w:t>
            </w:r>
          </w:p>
        </w:tc>
      </w:tr>
      <w:tr>
        <w:trPr>
          <w:cantSplit/>
        </w:trPr>
        <w:tc>
          <w:tcPr>
            <w:tcW w:type="dxa" w:w="1663"/>
          </w:tcPr>
          <w:p>
            <w:r>
              <w:rPr>
                <w:sz w:val="18"/>
              </w:rPr>
              <w:t>周期 / 含噪声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0.6555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1.3988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0.6313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0.9480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0.8608</w:t>
            </w:r>
          </w:p>
        </w:tc>
      </w:tr>
      <w:tr>
        <w:trPr>
          <w:cantSplit/>
        </w:trPr>
        <w:tc>
          <w:tcPr>
            <w:tcW w:type="dxa" w:w="1663"/>
          </w:tcPr>
          <w:p>
            <w:r>
              <w:rPr>
                <w:sz w:val="18"/>
              </w:rPr>
              <w:t>非周期 / 含噪声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0.6739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1.3830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0.6231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0.9260</w:t>
            </w:r>
          </w:p>
        </w:tc>
        <w:tc>
          <w:tcPr>
            <w:tcW w:type="dxa" w:w="1663"/>
          </w:tcPr>
          <w:p>
            <w:r>
              <w:rPr>
                <w:sz w:val="18"/>
              </w:rPr>
              <w:t>0.8542</w:t>
            </w:r>
          </w:p>
        </w:tc>
      </w:tr>
    </w:tbl>
    <w:p>
      <w:pPr>
        <w:spacing w:after="0"/>
      </w:pPr>
    </w:p>
    <w:p>
      <w:r>
        <w:rPr>
          <w:sz w:val="18"/>
        </w:rPr>
        <w:t>复场误差（NRMSE）衡量恢复的振幅与相位整体偏差，仅对齐一个全局相位。四算法均使用 200 次传播；“初始参考”为共同起点，未做迭代。</w:t>
      </w:r>
    </w:p>
    <w:p>
      <w:pPr>
        <w:pStyle w:val="Heading2"/>
      </w:pPr>
      <w:r>
        <w:t>增加计算量未改善含噪声结果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sz w:val="18"/>
              </w:rPr>
              <w:t>含噪声 ER</w:t>
            </w:r>
          </w:p>
        </w:tc>
        <w:tc>
          <w:tcPr>
            <w:tcW w:type="dxa" w:w="3326"/>
          </w:tcPr>
          <w:p>
            <w:r>
              <w:rPr>
                <w:sz w:val="18"/>
              </w:rPr>
              <w:t>80 次传播</w:t>
            </w:r>
          </w:p>
        </w:tc>
        <w:tc>
          <w:tcPr>
            <w:tcW w:type="dxa" w:w="3326"/>
          </w:tcPr>
          <w:p>
            <w:r>
              <w:rPr>
                <w:sz w:val="18"/>
              </w:rPr>
              <w:t>200 次传播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8"/>
              </w:rPr>
              <w:t>周期</w:t>
            </w:r>
          </w:p>
        </w:tc>
        <w:tc>
          <w:tcPr>
            <w:tcW w:type="dxa" w:w="3326"/>
          </w:tcPr>
          <w:p>
            <w:r>
              <w:rPr>
                <w:sz w:val="18"/>
              </w:rPr>
              <w:t>0.5487</w:t>
            </w:r>
          </w:p>
        </w:tc>
        <w:tc>
          <w:tcPr>
            <w:tcW w:type="dxa" w:w="3326"/>
          </w:tcPr>
          <w:p>
            <w:r>
              <w:rPr>
                <w:sz w:val="18"/>
              </w:rPr>
              <w:t>0.6313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sz w:val="18"/>
              </w:rPr>
              <w:t>非周期</w:t>
            </w:r>
          </w:p>
        </w:tc>
        <w:tc>
          <w:tcPr>
            <w:tcW w:type="dxa" w:w="3326"/>
          </w:tcPr>
          <w:p>
            <w:r>
              <w:rPr>
                <w:sz w:val="18"/>
              </w:rPr>
              <w:t>0.5495</w:t>
            </w:r>
          </w:p>
        </w:tc>
        <w:tc>
          <w:tcPr>
            <w:tcW w:type="dxa" w:w="3326"/>
          </w:tcPr>
          <w:p>
            <w:r>
              <w:rPr>
                <w:sz w:val="18"/>
              </w:rPr>
              <w:t>0.6231</w:t>
            </w:r>
          </w:p>
        </w:tc>
      </w:tr>
    </w:tbl>
    <w:p>
      <w:pPr>
        <w:spacing w:after="0"/>
      </w:pPr>
    </w:p>
    <w:p>
      <w:r>
        <w:t>本轮为固定种子、单个混合样品的合成试运行，采用已知参考复场；上述比较限于本轮条件。</w:t>
      </w:r>
    </w:p>
    <w:p>
      <w:r>
        <w:t>请佳伟老师指导下一阶段的工作重点。</w:t>
      </w:r>
    </w:p>
    <w:p>
      <w:pPr>
        <w:sectPr>
          <w:footerReference w:type="default" r:id="rId9"/>
          <w:pgSz w:w="11906" w:h="16838"/>
          <w:pgMar w:top="850" w:right="964" w:bottom="850" w:left="964" w:header="720" w:footer="397" w:gutter="0"/>
          <w:cols w:space="720"/>
          <w:docGrid w:linePitch="360"/>
        </w:sectPr>
      </w:pPr>
    </w:p>
    <w:p>
      <w:pPr>
        <w:pStyle w:val="Heading1"/>
      </w:pPr>
      <w:r>
        <w:t>模型、比较条件与材料索引</w:t>
      </w:r>
    </w:p>
    <w:p>
      <w:r>
        <w:drawing>
          <wp:inline xmlns:a="http://schemas.openxmlformats.org/drawingml/2006/main" xmlns:pic="http://schemas.openxmlformats.org/drawingml/2006/picture">
            <wp:extent cx="5868000" cy="3910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lar_geo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910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图1｜本次运行的实际布局。左：周期排列；右：非周期排列。黑实线为物理端面，红虚线为算法支持域（允许恢复光场的区域），蓝圈为纤芯。两组均为 163 芯，坐标单位为微米。</w:t>
      </w:r>
    </w:p>
    <w:p>
      <w:pPr>
        <w:pStyle w:val="Heading2"/>
      </w:pPr>
      <w:r>
        <w:t>共同条件</w:t>
      </w:r>
    </w:p>
    <w:p>
      <w:r>
        <w:t>物理端面半径 26 微米，芯中心范围 22 微米，算法支持域半径 29 微米。周期组芯间距 3.2 微米；非周期组最小芯间距 2.4 微米。端面外场能量检查为零。</w:t>
      </w:r>
    </w:p>
    <w:p>
      <w:r>
        <w:t>计算量按传播调用次数统一计数，包含 L-BFGS 线搜索中的拒绝试探；记录 80、200 次两个预算点。参数在评分前固定。四方法计算、评分及绘图共 32.62 秒，不含输入生成。</w:t>
      </w:r>
    </w:p>
    <w:p>
      <w:r>
        <w:t>两类布局使用同一混合样品、已知合成参考校准和共同初始化规则。噪声模型及本轮实际计数见下一页；第4—11页分别展示振幅与相位。</w:t>
      </w:r>
    </w:p>
    <w:p>
      <w:pPr>
        <w:pStyle w:val="Heading2"/>
      </w:pPr>
      <w:r>
        <w:t>阅读与复跑</w:t>
      </w:r>
    </w:p>
    <w:p>
      <w:r>
        <w:t>私有项目仓库（需访问权限）：</w:t>
      </w:r>
      <w:hyperlink r:id="rId11">
        <w:r>
          <w:t>打开链接</w:t>
        </w:r>
      </w:hyperlink>
    </w:p>
    <w:p>
      <w:r>
        <w:t>完整结果包与校验信息：</w:t>
      </w:r>
      <w:hyperlink r:id="rId12">
        <w:r>
          <w:t>打开链接</w:t>
        </w:r>
      </w:hyperlink>
    </w:p>
    <w:p>
      <w:r>
        <w:rPr>
          <w:sz w:val="18"/>
        </w:rPr>
        <w:t>复跑入口：START_CIRCULAR_BENCHMARK.cmd。需要已激活的 MATLAB。本机运行与结果包恢复已验证；全新下载副本的 MATLAB 复跑尚未验证。完整方法卡见 docs/methods/FAST_四类求解器方法卡.docx。</w:t>
      </w:r>
    </w:p>
    <w:p>
      <w:pPr>
        <w:sectPr>
          <w:pgSz w:w="11906" w:h="16838"/>
          <w:pgMar w:top="850" w:right="964" w:bottom="850" w:left="964" w:header="720" w:footer="397" w:gutter="0"/>
          <w:cols w:space="720"/>
          <w:docGrid w:linePitch="360"/>
        </w:sectPr>
      </w:pPr>
    </w:p>
    <w:p>
      <w:pPr>
        <w:pStyle w:val="Heading1"/>
      </w:pPr>
      <w:r>
        <w:t>噪声定义与本轮实际强度</w:t>
      </w:r>
    </w:p>
    <w:p>
      <w:pPr>
        <w:pStyle w:val="Heading2"/>
      </w:pPr>
      <w:r>
        <w:t>从无噪声强度到求解器输入</w:t>
      </w:r>
    </w:p>
    <w:p>
      <w:r>
        <w:t>令 I_p 为探测器第 p 个像素的无噪声强度（细网格传播后进行像素平均），I_ref,p 为空白参考帧强度。曝光换算系数 α = 200000 / Σ_p I_ref,p，本轮两种布局均约为 50。</w:t>
      </w:r>
    </w:p>
    <w:p>
      <w:r>
        <w:t>散粒噪声：K_p ~ Poisson(μ_p)，μ_p = α I_p。读出噪声：ε_p ~ N(0, σ_r^2)，σ_r = 1 电子/像素（标准差）。两者独立，按像素独立采样。</w:t>
      </w:r>
    </w:p>
    <w:p>
      <w:r>
        <w:t>相机读数 Y_p = K_p + ε_p；非负处理 C_p = max(Y_p, 0)；输入振幅 A_p = sqrt(C_p / α)。无噪声对照直接使用 A_p = sqrt(I_p)。</w:t>
      </w:r>
    </w:p>
    <w:p>
      <w:pPr>
        <w:pStyle w:val="Heading2"/>
      </w:pPr>
      <w:r>
        <w:t>“20 万”的准确含义</w:t>
      </w:r>
    </w:p>
    <w:p>
      <w:r>
        <w:t>20 万指整个空白参考帧的总期望光电子数，定义曝光尺度。256 × 256 像素下，空白帧每像素平均为 3.052 电子；样品透射损耗使样品帧总期望计数降低。这里未单独建模量子效率，不能直接解释成入射光子数。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494"/>
          </w:tcPr>
          <w:p>
            <w:r>
              <w:rPr>
                <w:sz w:val="18"/>
              </w:rPr>
              <w:t>布局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样品总期望电子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每像素均值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负读数比例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8"/>
              </w:rPr>
              <w:t>周期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84114.1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1.283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39.19%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8"/>
              </w:rPr>
              <w:t>非周期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82522.7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1.259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38.90%</w:t>
            </w:r>
          </w:p>
        </w:tc>
      </w:tr>
    </w:tbl>
    <w:p>
      <w:pPr>
        <w:spacing w:after="0"/>
      </w:pPr>
    </w:p>
    <w:p>
      <w:r>
        <w:t>表中计数由保存的无噪声输入与曝光系数计算；负读数比例取自运行时相机记录，分母为全部 65536 个像素。两布局的峰值期望计数分别为 68.85、92.03 电子/像素。</w:t>
      </w:r>
    </w:p>
    <w:p>
      <w:pPr>
        <w:pStyle w:val="Heading2"/>
      </w:pPr>
      <w:r>
        <w:t>噪声统计与比较边界</w:t>
      </w:r>
    </w:p>
    <w:p>
      <w:r>
        <w:t>截断前 E[Y_p] = μ_p，Var(Y_p) = μ_p + σ_r^2；因此散粒噪声随信号变化，不能用一个固定“百分比噪声”描述。负值截断会在暗区引入正偏，开方后也不再是加性高斯噪声。表中较高负读数比例包含大量暗像素。</w:t>
      </w:r>
    </w:p>
    <w:p>
      <w:r>
        <w:t>相机代码为 fast_mcf_camera.m（泊松乘积采样），随机生成器为 MATLAB twister，实际种子 3102027。四算法复用同一保存的含噪输入；两布局同种子不代表相同计数实现。每条件仅一次噪声实现，未给出跨噪声重复的置信区间。参考校准为已知合成复场，未另加校准误差。</w:t>
      </w:r>
    </w:p>
    <w:p>
      <w:pPr>
        <w:sectPr>
          <w:pgSz w:w="11906" w:h="16838"/>
          <w:pgMar w:top="850" w:right="964" w:bottom="850" w:left="964" w:header="720" w:footer="397" w:gutter="0"/>
          <w:cols w:space="720"/>
          <w:docGrid w:linePitch="360"/>
        </w:sectPr>
      </w:pPr>
    </w:p>
    <w:p>
      <w:pPr>
        <w:pStyle w:val="Heading1"/>
      </w:pPr>
      <w:r>
        <w:t>周期 / 无噪声｜振幅比较</w:t>
      </w:r>
    </w:p>
    <w:p>
      <w:r>
        <w:drawing>
          <wp:inline xmlns:a="http://schemas.openxmlformats.org/drawingml/2006/main" xmlns:pic="http://schemas.openxmlformats.org/drawingml/2006/picture">
            <wp:extent cx="7500000" cy="54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odic_clean_amplitu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六面板按真值、共同初值、HIO、ER、RAAR、L-BFGS 排列。四算法预算均为 200 次传播。坐标为端面位置；显示范围 ±32 微米，覆盖半径 29 微米支持域；完整网格宽 128 微米；所有振幅图共用色标，未逐图归一化。</w:t>
      </w:r>
    </w:p>
    <w:p>
      <w:pPr>
        <w:sectPr>
          <w:pgSz w:w="16838" w:h="11906" w:orient="landscape"/>
          <w:pgMar w:top="850" w:right="964" w:bottom="850" w:left="964" w:header="720" w:footer="397" w:gutter="0"/>
          <w:cols w:space="720"/>
          <w:docGrid w:linePitch="360"/>
        </w:sectPr>
      </w:pPr>
    </w:p>
    <w:p>
      <w:pPr>
        <w:pStyle w:val="Heading1"/>
      </w:pPr>
      <w:r>
        <w:t>周期 / 无噪声｜相位比较</w:t>
      </w:r>
    </w:p>
    <w:p>
      <w:r>
        <w:drawing>
          <wp:inline xmlns:a="http://schemas.openxmlformats.org/drawingml/2006/main" xmlns:pic="http://schemas.openxmlformats.org/drawingml/2006/picture">
            <wp:extent cx="7500000" cy="54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odic_clean_ph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参考校正相位为 arg[u · conj(u_ref) · exp(−iθ)]；θ 在评分 ROI 内对齐真值的一个全局相位。仅显示保存的亮芯 ROI，白色区域为未显示区域，不代表零相位。所有相位图统一为 [−π, π]。</w:t>
      </w:r>
    </w:p>
    <w:p>
      <w:pPr>
        <w:sectPr>
          <w:pgSz w:w="16838" w:h="11906" w:orient="landscape"/>
          <w:pgMar w:top="850" w:right="964" w:bottom="850" w:left="964" w:header="720" w:footer="397" w:gutter="0"/>
          <w:cols w:space="720"/>
          <w:docGrid w:linePitch="360"/>
        </w:sectPr>
      </w:pPr>
    </w:p>
    <w:p>
      <w:pPr>
        <w:pStyle w:val="Heading1"/>
      </w:pPr>
      <w:r>
        <w:t>非周期 / 无噪声｜振幅比较</w:t>
      </w:r>
    </w:p>
    <w:p>
      <w:r>
        <w:drawing>
          <wp:inline xmlns:a="http://schemas.openxmlformats.org/drawingml/2006/main" xmlns:pic="http://schemas.openxmlformats.org/drawingml/2006/picture">
            <wp:extent cx="7500000" cy="54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eriodic_clean_amplitu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六面板按真值、共同初值、HIO、ER、RAAR、L-BFGS 排列。四算法预算均为 200 次传播。坐标为端面位置；显示范围 ±32 微米，覆盖半径 29 微米支持域；完整网格宽 128 微米；所有振幅图共用色标，未逐图归一化。</w:t>
      </w:r>
    </w:p>
    <w:p>
      <w:pPr>
        <w:sectPr>
          <w:pgSz w:w="16838" w:h="11906" w:orient="landscape"/>
          <w:pgMar w:top="850" w:right="964" w:bottom="850" w:left="964" w:header="720" w:footer="397" w:gutter="0"/>
          <w:cols w:space="720"/>
          <w:docGrid w:linePitch="360"/>
        </w:sectPr>
      </w:pPr>
    </w:p>
    <w:p>
      <w:pPr>
        <w:pStyle w:val="Heading1"/>
      </w:pPr>
      <w:r>
        <w:t>非周期 / 无噪声｜相位比较</w:t>
      </w:r>
    </w:p>
    <w:p>
      <w:r>
        <w:drawing>
          <wp:inline xmlns:a="http://schemas.openxmlformats.org/drawingml/2006/main" xmlns:pic="http://schemas.openxmlformats.org/drawingml/2006/picture">
            <wp:extent cx="7500000" cy="54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eriodic_clean_ph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参考校正相位为 arg[u · conj(u_ref) · exp(−iθ)]；θ 在评分 ROI 内对齐真值的一个全局相位。仅显示保存的亮芯 ROI，白色区域为未显示区域，不代表零相位。所有相位图统一为 [−π, π]。</w:t>
      </w:r>
    </w:p>
    <w:p>
      <w:pPr>
        <w:sectPr>
          <w:pgSz w:w="16838" w:h="11906" w:orient="landscape"/>
          <w:pgMar w:top="850" w:right="964" w:bottom="850" w:left="964" w:header="720" w:footer="397" w:gutter="0"/>
          <w:cols w:space="720"/>
          <w:docGrid w:linePitch="360"/>
        </w:sectPr>
      </w:pPr>
    </w:p>
    <w:p>
      <w:pPr>
        <w:pStyle w:val="Heading1"/>
      </w:pPr>
      <w:r>
        <w:t>周期 / 含噪声｜振幅比较</w:t>
      </w:r>
    </w:p>
    <w:p>
      <w:r>
        <w:drawing>
          <wp:inline xmlns:a="http://schemas.openxmlformats.org/drawingml/2006/main" xmlns:pic="http://schemas.openxmlformats.org/drawingml/2006/picture">
            <wp:extent cx="7500000" cy="54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odic_shot_read_amplitu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六面板按真值、共同初值、HIO、ER、RAAR、L-BFGS 排列。四算法预算均为 200 次传播。坐标为端面位置；显示范围 ±32 微米，覆盖半径 29 微米支持域；完整网格宽 128 微米；所有振幅图共用色标，未逐图归一化。</w:t>
      </w:r>
    </w:p>
    <w:p>
      <w:pPr>
        <w:sectPr>
          <w:pgSz w:w="16838" w:h="11906" w:orient="landscape"/>
          <w:pgMar w:top="850" w:right="964" w:bottom="850" w:left="964" w:header="720" w:footer="397" w:gutter="0"/>
          <w:cols w:space="720"/>
          <w:docGrid w:linePitch="360"/>
        </w:sectPr>
      </w:pPr>
    </w:p>
    <w:p>
      <w:pPr>
        <w:pStyle w:val="Heading1"/>
      </w:pPr>
      <w:r>
        <w:t>周期 / 含噪声｜相位比较</w:t>
      </w:r>
    </w:p>
    <w:p>
      <w:r>
        <w:drawing>
          <wp:inline xmlns:a="http://schemas.openxmlformats.org/drawingml/2006/main" xmlns:pic="http://schemas.openxmlformats.org/drawingml/2006/picture">
            <wp:extent cx="7500000" cy="54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odic_shot_read_pha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参考校正相位为 arg[u · conj(u_ref) · exp(−iθ)]；θ 在评分 ROI 内对齐真值的一个全局相位。仅显示保存的亮芯 ROI，白色区域为未显示区域，不代表零相位。所有相位图统一为 [−π, π]。</w:t>
      </w:r>
    </w:p>
    <w:p>
      <w:pPr>
        <w:sectPr>
          <w:pgSz w:w="16838" w:h="11906" w:orient="landscape"/>
          <w:pgMar w:top="850" w:right="964" w:bottom="850" w:left="964" w:header="720" w:footer="397" w:gutter="0"/>
          <w:cols w:space="720"/>
          <w:docGrid w:linePitch="360"/>
        </w:sectPr>
      </w:pPr>
    </w:p>
    <w:p>
      <w:pPr>
        <w:pStyle w:val="Heading1"/>
      </w:pPr>
      <w:r>
        <w:t>非周期 / 含噪声｜振幅比较</w:t>
      </w:r>
    </w:p>
    <w:p>
      <w:r>
        <w:drawing>
          <wp:inline xmlns:a="http://schemas.openxmlformats.org/drawingml/2006/main" xmlns:pic="http://schemas.openxmlformats.org/drawingml/2006/picture">
            <wp:extent cx="7500000" cy="54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eriodic_shot_read_amplitu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六面板按真值、共同初值、HIO、ER、RAAR、L-BFGS 排列。四算法预算均为 200 次传播。坐标为端面位置；显示范围 ±32 微米，覆盖半径 29 微米支持域；完整网格宽 128 微米；所有振幅图共用色标，未逐图归一化。</w:t>
      </w:r>
    </w:p>
    <w:p>
      <w:pPr>
        <w:sectPr>
          <w:pgSz w:w="16838" w:h="11906" w:orient="landscape"/>
          <w:pgMar w:top="850" w:right="964" w:bottom="850" w:left="964" w:header="720" w:footer="397" w:gutter="0"/>
          <w:cols w:space="720"/>
          <w:docGrid w:linePitch="360"/>
        </w:sectPr>
      </w:pPr>
    </w:p>
    <w:p>
      <w:pPr>
        <w:pStyle w:val="Heading1"/>
      </w:pPr>
      <w:r>
        <w:t>非周期 / 含噪声｜相位比较</w:t>
      </w:r>
    </w:p>
    <w:p>
      <w:r>
        <w:drawing>
          <wp:inline xmlns:a="http://schemas.openxmlformats.org/drawingml/2006/main" xmlns:pic="http://schemas.openxmlformats.org/drawingml/2006/picture">
            <wp:extent cx="7500000" cy="54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eriodic_shot_read_pha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参考校正相位为 arg[u · conj(u_ref) · exp(−iθ)]；θ 在评分 ROI 内对齐真值的一个全局相位。仅显示保存的亮芯 ROI，白色区域为未显示区域，不代表零相位。所有相位图统一为 [−π, π]。</w:t>
      </w:r>
    </w:p>
    <w:sectPr w:rsidR="00FC693F" w:rsidRPr="0006063C" w:rsidSect="00034616">
      <w:pgSz w:w="16838" w:h="11906" w:orient="landscape"/>
      <w:pgMar w:top="850" w:right="964" w:bottom="850" w:left="96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圆形MCF阶段汇报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BoVVENGibNieAuf/LSA-FAST-Phase-Retrieval-Benchmark" TargetMode="External"/><Relationship Id="rId12" Type="http://schemas.openxmlformats.org/officeDocument/2006/relationships/hyperlink" Target="https://github.com/BoVVENGibNieAuf/LSA-FAST-Phase-Retrieval-Benchmark/releases/tag/circular-results-2026-10-03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圆形端面多芯光纤四方法比较｜佳伟老师交付版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