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 FAST 的相位恢复基准研究</w:t>
      </w:r>
    </w:p>
    <w:p>
      <w:pPr>
        <w:pStyle w:val="Subtitle"/>
      </w:pPr>
      <w:r>
        <w:t>学生课题说明与执行任务书  |  v1.0  |  2026-09-26</w:t>
      </w:r>
    </w:p>
    <w:p>
      <w:pPr/>
      <w:r>
        <w:rPr>
          <w:b/>
        </w:rPr>
        <w:t>英文拟题：</w:t>
      </w:r>
      <w:r>
        <w:t xml:space="preserve"> Benchmarking calibrated phase retrieval for lensless multicore-fiber endomicroscopy</w:t>
      </w:r>
    </w:p>
    <w:p>
      <w:pPr>
        <w:pStyle w:val="Callout"/>
        <w:shd w:fill="EDF3F6"/>
      </w:pPr>
      <w:r>
        <w:rPr>
          <w:b/>
        </w:rPr>
        <w:t>课题主线：</w:t>
      </w:r>
      <w:r>
        <w:t xml:space="preserve"> 在 FAST 的既有多芯光纤测量框架内，公平比较不同迭代求解器，区分求解器、参考校准、初始化和后处理对最终定量相位结果的贡献。先复现，再比较；先建立可信参考，再扩大实验。</w:t>
      </w:r>
    </w:p>
    <w:p>
      <w:pPr>
        <w:pStyle w:val="Heading2"/>
      </w:pPr>
      <w:r>
        <w:t>1. 课题定位</w:t>
      </w:r>
    </w:p>
    <w:p>
      <w:pPr/>
      <w:r>
        <w:t>本课题基于 Sun 等发表于 Light: Science &amp; Applications 的 FAST 工作[1]，不是另建一套 MMF 成像系统，也不要求首先提出新算法。第一版限定为：已校准多芯光纤（MCF）条件下，由单幅样品强度散斑恢复复场，并评估定量相位的精度、计算代价和失效条件。</w:t>
      </w:r>
    </w:p>
    <w:p>
      <w:pPr/>
      <w:r>
        <w:t>承担者已有 MMF 全息基础，可将复场测量、相位校准和系统调试经验用于建立独立参考。需要特别区分：学生原有经验是 MMF，本课题对象是 FAST 所用的 MCF；不能直接把未知稠密传输矩阵的 MMF 反演替换进本题。</w:t>
      </w:r>
    </w:p>
    <w:p>
      <w:pPr>
        <w:pStyle w:val="Heading2"/>
      </w:pPr>
      <w:r>
        <w:t>2. 论文要回答的三个问题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2778"/>
        <w:gridCol w:w="6576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6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需要形成的证据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同样的数据和校准，哪个求解器更适用？</w:t>
            </w:r>
          </w:p>
        </w:tc>
        <w:tc>
          <w:tcPr>
            <w:tcW w:type="dxa" w:w="6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相位/复场误差与时间、传播调用次数的关系，而非单次最好结果。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结果主要受算法，还是初始化和校准限制？</w:t>
            </w:r>
          </w:p>
        </w:tc>
        <w:tc>
          <w:tcPr>
            <w:tcW w:type="dxa" w:w="6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区分校准相位作为初值、作为解调参考的作用，再与求解器差异比较。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在哪些条件下会失败，失败是否可被发现？</w:t>
            </w:r>
          </w:p>
        </w:tc>
        <w:tc>
          <w:tcPr>
            <w:tcW w:type="dxa" w:w="6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噪声和模型失配下的成功率、误差分布，以及低残差却相位错误的案例。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3. 第一版边界与预期交付</w:t>
      </w:r>
    </w:p>
    <w:p>
      <w:pPr/>
      <w:r>
        <w:rPr>
          <w:b/>
        </w:rPr>
        <w:t>必须完成：</w:t>
      </w:r>
      <w:r>
        <w:t xml:space="preserve"> FAST 复现记录、四类非重复求解器、受控仿真、具有独立参考的实测比较、可重建主图的配置和脚本。</w:t>
      </w:r>
      <w:r>
        <w:rPr>
          <w:b/>
        </w:rPr>
        <w:t>暂不纳入：</w:t>
      </w:r>
      <w:r>
        <w:t xml:space="preserve"> MMF 全传输矩阵比较、监督学习/扩散模型、大规模网络训练、自动对焦排行榜、在体实验，以及大范围硬件改造。</w:t>
      </w:r>
    </w:p>
    <w:p>
      <w:pPr/>
      <w:r>
        <w:t>论文的潜在价值是可信的比较协议、真实数据证据与适用条件，而不是证明 FAST 在所有条件下第一。若只得到几张效果图，或缺少独立参考，则先交付内部工具，不预设必须独立发表。</w:t>
      </w:r>
    </w:p>
    <w:p>
      <w:pPr/>
      <w:r>
        <w:rPr>
          <w:b/>
        </w:rPr>
        <w:t>阅读顺序：</w:t>
      </w:r>
      <w:r>
        <w:t xml:space="preserve"> 第2–4页理解原方法与比较对象；第5–7页制定数据和评估协议；第8–11页用于实施、验收与 Codex 任务拆分。本文中的实验规模与周计划均为建议方案，不是已经完成的实验结果。</w:t>
      </w:r>
    </w:p>
    <w:p>
      <w:pPr>
        <w:pStyle w:val="Heading1"/>
        <w:pageBreakBefore/>
      </w:pPr>
      <w:r>
        <w:t>01  先把 FAST 的边界核对清楚</w:t>
      </w:r>
    </w:p>
    <w:p>
      <w:pPr>
        <w:pStyle w:val="Subtitle"/>
      </w:pPr>
      <w:r>
        <w:t>已核实：原论文正文、公开 main.m 与 prop.m；尚未执行原始数据重建</w:t>
      </w:r>
    </w:p>
    <w:p>
      <w:pPr>
        <w:pStyle w:val="Heading2"/>
      </w:pPr>
      <w:r>
        <w:t>原论文与公开代码提供了什么</w:t>
      </w:r>
    </w:p>
    <w:p>
      <w:pPr/>
      <w:r>
        <w:t>原论文采用双平面参考散斑估计光纤参考相位，样品阶段仅采集单幅散斑，并用参考相位初始化迭代；恢复输出端复场后扣除参考相位，再传播至样品平面。原论文第3页图2给出了这一流程。[1]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2041"/>
        <w:gridCol w:w="7313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基于公开资料的事实及本课题处理方式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额外校准信息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公开代码还使用 amp_facet_ref 生成支持域；因此信息预算不能只写“单幅强度”。记录其采集、归一化与阈值来源。[2]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传播与距离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prop.m 使用角谱传播。zs 对应检测端传播距离，不能与样品到入射端面的工作距离混为一谈。[2]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原始示例配置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main.m 中 β=0.2，参考循环数2500，样品循环数40；这些是公开示例设置，不是所有样品的最优设置。[2]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显示与定量输出</w:t>
            </w:r>
          </w:p>
        </w:tc>
        <w:tc>
          <w:tcPr>
            <w:tcW w:type="dxa" w:w="7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代码含固定相位偏移及中值滤波；保存显示复现版，但主评估使用实际末次迭代的未滤波复场，不用显示截图计算误差。[2]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一个必须处理的算法关系：FAST 与 HIO</w:t>
      </w:r>
    </w:p>
    <w:p>
      <w:pPr/>
      <w:r>
        <w:t>令 M 为二值支持域，uₖ 为迭代场，vₖ 为施加检测面幅值约束并反传后的场。公开代码的样品更新可直接化简为：</w:t>
      </w:r>
    </w:p>
    <w:p>
      <w:pPr>
        <w:pStyle w:val="Formula"/>
      </w:pPr>
      <w:r>
        <w:t>uₖ₊₁ = M ⊙ vₖ + (1 − M) ⊙ (uₖ − βvₖ)</w:t>
      </w:r>
    </w:p>
    <w:p>
      <w:pPr/>
      <w:r>
        <w:t>这是支持域约束下的 HIO 更新形式；这里的对应关系是对代码的代数分析。[2,3] 因此，FAST 应理解为“测量、校准、参考初始化与迭代重建”的完整流程。把相同初始化、相同 β 的 FAST 与 HIO 作为两种独立算法排名，会产生重复比较。</w:t>
      </w:r>
    </w:p>
    <w:p>
      <w:pPr>
        <w:pStyle w:val="Callout"/>
        <w:shd w:fill="EDF3F6"/>
      </w:pPr>
      <w:r>
        <w:rPr>
          <w:b/>
        </w:rPr>
        <w:t>命名规则：</w:t>
      </w:r>
      <w:r>
        <w:t xml:space="preserve"> 保留“FAST 原始实现”作复现基准；统一框架中的对应项命名“FAST/HIO”。调优 β、改变初始化或增加后处理，均属于配置或消融，不另算一种新算法。</w:t>
      </w:r>
    </w:p>
    <w:p>
      <w:pPr>
        <w:pStyle w:val="Heading2"/>
      </w:pPr>
      <w:r>
        <w:t>第一周必须交付的核查表</w:t>
      </w:r>
    </w:p>
    <w:p>
      <w:pPr/>
      <w:r>
        <w:t>逐项确认数据变量代表强度还是幅值、有效像素尺寸和倍率、传播方向、FFT 坐标约定、支持域形状、偏振条件及校准状态。原文允许平面波或点源参考；若使用点源，参考相位包含照明曲率，扣除后得到相对参考的相位，需在绝对复场和再传播时一致处理。[1]</w:t>
      </w:r>
    </w:p>
    <w:p>
      <w:pPr/>
      <w:r>
        <w:t>公开数据文件的可访问性、补充材料与代码的逐项对应、当前本地数据完整性仍待核实。不得将代码中固定参数直接认定为当前系统参数。</w:t>
      </w:r>
    </w:p>
    <w:p>
      <w:pPr>
        <w:pStyle w:val="Heading1"/>
        <w:pageBreakBefore/>
      </w:pPr>
      <w:r>
        <w:t>02  统一问题定义与三层比较</w:t>
      </w:r>
    </w:p>
    <w:p>
      <w:pPr>
        <w:pStyle w:val="Subtitle"/>
      </w:pPr>
      <w:r>
        <w:t>先隔离误差来源，避免把所有环节混成一个排行榜</w:t>
      </w:r>
    </w:p>
    <w:p>
      <w:pPr>
        <w:pStyle w:val="Heading2"/>
      </w:pPr>
      <w:r>
        <w:t>统一前向模型与重建平面</w:t>
      </w:r>
    </w:p>
    <w:p>
      <w:pPr>
        <w:pStyle w:val="Formula"/>
      </w:pPr>
      <w:r>
        <w:t>yⱼ = |Aⱼ u|² + ηⱼ</w:t>
      </w:r>
    </w:p>
    <w:p>
      <w:pPr/>
      <w:r>
        <w:t>u 表示检测侧光纤输出端面的复场；Aⱼ 表示从该端面到第 j 个检测平面的已校准传播算子；yⱼ 为强度测量。参考阶段使用两个检测平面；样品主比较使用一个检测平面。第一版先忠实匹配原角谱传播实现，不直接简化成纯傅里叶幅值模型，也不引入未知稠密 MMF 传输矩阵。[1,2]</w:t>
      </w:r>
    </w:p>
    <w:p>
      <w:pPr/>
      <w:r>
        <w:t>分别记录两个参考检测距离 z_det_0、z_det_1；用 z_det_sample 指定样品测量使用哪一平面；z_obj 单独表示样品到入射端面的工作距离。数值、单位和对应关系写入配置。主指标先在输出端面计算，减少解调、再传播与对焦误差的混杂。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587"/>
        <w:gridCol w:w="3628"/>
        <w:gridCol w:w="413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保持固定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允许改变与目的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T0 原始复现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原始代码、数据与公开示例设置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复现原始输出，记录代码版本与中间量；验证接手链条。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T1 求解器比较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共同参考相位、支持域、传播、输入、初始化和后处理规则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只替换样品迭代求解器，比较精度、计算量和稳定性。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T2 因素消融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同一数据及其他因素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一次只改变初始化、校准误差或后处理，解释差异来源。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端到端 QPI 作为第二层结果</w:t>
      </w:r>
    </w:p>
    <w:p>
      <w:pPr>
        <w:pStyle w:val="Formula"/>
      </w:pPr>
      <w:r>
        <w:t>u_in = u_recon · exp(−iφ_ref)</w:t>
      </w:r>
    </w:p>
    <w:p>
      <w:pPr/>
      <w:r>
        <w:t>在共同参考照明约定下解调，再用同一传播距离和同一处理得到样品相位/OPD。所有方法使用同一已确定的样品焦面；不能逐方法、逐测试样品选择“看起来最清楚”的距离。此式沿用原论文的相位校正框架；参考波前和振幅传递的适用条件须在实测中检查。[1]</w:t>
      </w:r>
    </w:p>
    <w:p>
      <w:pPr>
        <w:pStyle w:val="Heading2"/>
      </w:pPr>
      <w:r>
        <w:t>物理约束不能暗中增加</w:t>
      </w:r>
    </w:p>
    <w:p>
      <w:pPr/>
      <w:r>
        <w:t>第一版所有方法共用公开流程所定义的支持域。amp_facet_ref 并不等于每个样品已知的端面幅值；不得给某个 GS 基线额外提供实测样品近场幅值，却仍声称其使用相同单幅数据。逐纤芯常相位、已知振幅或平滑样品先验只能作为明确标注的扩展实验。</w:t>
      </w:r>
    </w:p>
    <w:p>
      <w:pPr/>
      <w:r>
        <w:t>单幅强度能否确定特定复场，取决于采样、支持域与样品类别；本研究不预设任意复场均有唯一可恢复解。初始化敏感性与不同解的误差应作为结果记录，而不是一律当作程序故障。</w:t>
      </w:r>
    </w:p>
    <w:p>
      <w:pPr>
        <w:pStyle w:val="Callout"/>
        <w:shd w:fill="EDF3F6"/>
      </w:pPr>
      <w:r>
        <w:rPr>
          <w:b/>
        </w:rPr>
        <w:t>算子验收：</w:t>
      </w:r>
      <w:r>
        <w:t xml:space="preserve"> 先做零距离、平面波、往返传播与伴随一致性测试。存在裁剪、非单位倍率、有限孔径或频率截断时，反向传播、逆算子和伴随不应被默认视为相同。</w:t>
      </w:r>
    </w:p>
    <w:p>
      <w:pPr>
        <w:pStyle w:val="Heading1"/>
        <w:pageBreakBefore/>
      </w:pPr>
      <w:r>
        <w:t>03  比较哪些算法，怎样避免重复</w:t>
      </w:r>
    </w:p>
    <w:p>
      <w:pPr>
        <w:pStyle w:val="Subtitle"/>
      </w:pPr>
      <w:r>
        <w:t>第一版：四类求解器；不靠增加算法名称扩充工作量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984"/>
        <w:gridCol w:w="3742"/>
        <w:gridCol w:w="362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主比较项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定义与角色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需要注明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FAST/HIO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保持原样品阶段的 HIO 型支持域更新，作为主基线。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原始 β 与验证集调优结果分开列；不重复列“FAST”和“HIO”。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ER / 支持域交替投影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检测面幅值投影后反传，再施加同一支持域。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不是已知两个平面幅值的双幅值 GS；名称与输入保持一致。[3]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RAAR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同一幅值集合与支持域集合上的松弛平均交替反射。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依据原方法实现与验证；松弛参数仅在开发集确定。[4]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幅值损失 + L-BFGS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在支持域内优化复场的实部/虚部，用准牛顿求解幅值一致性目标。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这是本课题选择的优化基线，不称为新算法，也不冒称原版 WF。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优化基线的建议目标</w:t>
      </w:r>
    </w:p>
    <w:p>
      <w:pPr>
        <w:pStyle w:val="Formula"/>
      </w:pPr>
      <w:r>
        <w:t>L(u) = ½ Σᵢ wᵢ [√(|(Au)ᵢ|² + ε²) − bᵢ]²，  u = M ⊙ u</w:t>
      </w:r>
    </w:p>
    <w:p>
      <w:pPr/>
      <w:r>
        <w:t>b 为共同预处理后的测量幅值，w 为检测有效像素权重，ε 为记录在配置中的数值稳定项。梯度必须通过有限差分检验；不在第一版额外加入 TV、学习先验或已知样品振幅。L-BFGS 的线搜索与重复前向/梯度评估均计入计算代价。</w:t>
      </w:r>
    </w:p>
    <w:p>
      <w:pPr/>
      <w:r>
        <w:t>普通投影幅值梯度在特定步长和单位传播条件下可退化为 ER；因此不把数学上等价的“梯度下降”再包装成第五项。先验证实现与更新关系，再讨论速度差异。</w:t>
      </w:r>
    </w:p>
    <w:p>
      <w:pPr>
        <w:pStyle w:val="Heading2"/>
      </w:pPr>
      <w:r>
        <w:t>每个方法必须有一张“方法卡”</w:t>
      </w:r>
    </w:p>
    <w:p>
      <w:pPr/>
      <w:r>
        <w:t>列明文献/代码来源、变量定义、输入、约束、初始化、参数、停止规则、输出映射和算子调用计数。HIO/RAAR 的内部迭代量可能含支持域外辅助分量；主比较统一取支持域内物理输出，保留完整内部状态用于诊断，不能把辅助量直接当作样品光场。</w:t>
      </w:r>
    </w:p>
    <w:p>
      <w:pPr>
        <w:pStyle w:val="Heading2"/>
      </w:pPr>
      <w:r>
        <w:t>初始化与后处理的比较规则</w:t>
      </w:r>
    </w:p>
    <w:p>
      <w:pPr/>
      <w:r>
        <w:rPr>
          <w:b/>
        </w:rPr>
        <w:t>主比较：</w:t>
      </w:r>
      <w:r>
        <w:t xml:space="preserve"> 全部使用同一参考相位和同一初始幅值。</w:t>
      </w:r>
      <w:r>
        <w:rPr>
          <w:b/>
        </w:rPr>
        <w:t>小规模消融：</w:t>
      </w:r>
      <w:r>
        <w:t xml:space="preserve"> 参考相位、零相位与随机相位三个初始化条件，随机相位使用预先固定的种子。支持域、数据与资源预算保持不变。</w:t>
      </w:r>
    </w:p>
    <w:p>
      <w:pPr/>
      <w:r>
        <w:t>增加一个不计入四方法的“零迭代对照”：直接使用共同参考初值，不拟合样品散斑。特别在弱相位目标上，检查迭代相较于只保留校准相位到底增加了多少有效信息。</w:t>
      </w:r>
    </w:p>
    <w:p>
      <w:pPr/>
      <w:r>
        <w:t>主表报告未滤波结果。另设“共同后处理”小实验，使用所有方法相同的参数；不得只给某一方法去噪、去倾斜或选择最佳相位偏移。原始显示处理仅用于 T0 复现，不作为额外优势。</w:t>
      </w:r>
    </w:p>
    <w:p>
      <w:pPr>
        <w:pStyle w:val="Callout"/>
        <w:shd w:fill="EDF3F6"/>
      </w:pPr>
      <w:r>
        <w:rPr>
          <w:b/>
        </w:rPr>
        <w:t>执行次序：</w:t>
      </w:r>
      <w:r>
        <w:t xml:space="preserve"> 第一次打通时先做 FAST/HIO 与 ER；两者的数据、算子和评分可信后再加入 RAAR 与 L-BFGS。第一阶段不同时维护多个不同语言的完整实现。</w:t>
      </w:r>
    </w:p>
    <w:p>
      <w:pPr>
        <w:pStyle w:val="Heading1"/>
        <w:pageBreakBefore/>
      </w:pPr>
      <w:r>
        <w:t>04  数据集与独立参考的建设</w:t>
      </w:r>
    </w:p>
    <w:p>
      <w:pPr>
        <w:pStyle w:val="Subtitle"/>
      </w:pPr>
      <w:r>
        <w:t>学生的全息经验应优先用于建立可信的复场参考</w:t>
      </w:r>
    </w:p>
    <w:p>
      <w:pPr>
        <w:pStyle w:val="Heading2"/>
      </w:pPr>
      <w:r>
        <w:t>仿真：先验证实现，再测试真实性</w:t>
      </w:r>
    </w:p>
    <w:p>
      <w:pPr/>
      <w:r>
        <w:t>第一级用与重建一致的离散模型生成少量数据，只用于单元测试。第二级才作为正式仿真：在更细网格上描述纤芯/场分布，经传播、像素积分和噪声生成测量，再交给重建网格处理，避免只在完全相同的数值模型上验证。纤芯几何优先来自实际校准，不擅自假设原算法强制逐纤芯常相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928"/>
        <w:gridCol w:w="3798"/>
        <w:gridCol w:w="362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样品类别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建议内容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划分规则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结构化相位目标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台阶、条纹、圆环；覆盖不同相位幅度和空间尺度。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每类12个独立基础场景：4个开发、8个测试。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平滑相位目标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细胞样轮廓与平滑相位起伏；明确为合成样品。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共36个基础场景，其中12开发、24测试。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混合幅相目标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振幅起伏叠加相位结构；含预定义低幅值区域。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同一基础场景的变形、噪声版和强度缩放不能跨集合。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/>
      <w:r>
        <w:t>上述数量是控制规模的起始方案，不代表已做功效分析。先用12个开发场景跑通；正式数量和变化范围须在查看测试结果前冻结。禁止将“同一基础图的多个噪声版本”计为多个独立样品。</w:t>
      </w:r>
    </w:p>
    <w:p>
      <w:pPr>
        <w:pStyle w:val="Heading2"/>
      </w:pPr>
      <w:r>
        <w:t>实测：优先对同一输出端面建立参考</w:t>
      </w:r>
    </w:p>
    <w:p>
      <w:pPr/>
      <w:r>
        <w:t>优先使用静态相位靶，并以独立离轴全息获得与散斑对应的输出端面复场。参考采集与强度散斑应尽可能同步，或在足够短的时间间隔内完成并验证稳定性。通过独立标定统一倍率、方向、位置、有效孔径和带宽；全息相位噪声及配准误差作为参考不确定性报告。</w:t>
      </w:r>
    </w:p>
    <w:p>
      <w:pPr/>
      <w:r>
        <w:t>建议至少进行两次独立采集会话，先规划12个独立目标/视场，4个开发、8个测试；重复帧用于评估稳定性，不扩充独立样本数。实际规模由参考可重复性和开发集方差决定，冻结后再开展正式测试。仅有一根光纤时，结论只针对已测光纤及状态。</w:t>
      </w:r>
    </w:p>
    <w:p>
      <w:pPr/>
      <w:r>
        <w:t>样品平面的独立参考可验证端到端 QPI；暂不可获得时先保证输出端面评价可信。校准误差评估还需独立的无样品参考，不能给重建与“真值”扣除同一 FAST 校准相位，从而抵消共同错误。细胞/微球可作为后续展示，不是首轮必选。</w:t>
      </w:r>
    </w:p>
    <w:p>
      <w:pPr>
        <w:pStyle w:val="Callout"/>
        <w:shd w:fill="EDF3F6"/>
      </w:pPr>
      <w:r>
        <w:rPr>
          <w:b/>
        </w:rPr>
        <w:t>不能充当独立真值：</w:t>
      </w:r>
      <w:r>
        <w:t xml:space="preserve"> FAST 自身结果；仅凭 SLM 指令生成的理想相位；另一颗或另一时刻的相似细胞；由全息复场计算得到并冒充实测的散斑。原论文第7页使用“相似 HeLa 细胞”的 DHM 参考，不能直接当作逐像素配对真值。[1]</w:t>
      </w:r>
    </w:p>
    <w:p>
      <w:pPr>
        <w:pStyle w:val="Heading1"/>
        <w:pageBreakBefore/>
      </w:pPr>
      <w:r>
        <w:t>05  实验矩阵：小范围起步，逐项放大</w:t>
      </w:r>
    </w:p>
    <w:p>
      <w:pPr>
        <w:pStyle w:val="Subtitle"/>
      </w:pPr>
      <w:r>
        <w:t>下面是建议配置；须由开发集与实际标定决定最终取值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701"/>
        <w:gridCol w:w="4535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实验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第一版内容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主要回答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E0 复现与正确性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原始示例；FAST/HIO 与 ER；保存校准、迭代、原始场和显示结果。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是否真正接通原始方法，而不是仅得到相似图像？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E1 基准与效率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四方法；共同校准/初始化；同一批开发与锁定测试场景。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相同预算下的复场精度、成功率与速度。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E2 噪声鲁棒性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无噪声控制 + 3档光子水平；每档3个配对噪声种子。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低信号时的误差增长、失败模式与算法差异。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E3 初始化消融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选定代表场景；参考、零相位、随机相位；随机初始化固定3个种子。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暖启动的贡献是否大于求解器替换？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E4 校准/模型失配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先选检测传播距离误差作为主轴；再选参考相位扰动作为小范围补充。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误差来自迭代未收敛，还是模型/校准已不匹配？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E5 实测验证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同视场全息参考；冻结目标、会话划分、评价规则和参数。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仿真中的趋势能否在真实测量中成立？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建议的预算与噪声定义</w:t>
      </w:r>
    </w:p>
    <w:p>
      <w:pPr/>
      <w:r>
        <w:t>主比较可先保存累计80、200、500、1000次传播调用附近的输出，再根据实测耗时压缩预算；所有额外前向、反向和线搜索调用均计费。不同方法达到同一调用预算的步数不同，不按“相同迭代数”宣称公平。原始示例40次样品迭代作为原生配置单独标注。</w:t>
      </w:r>
    </w:p>
    <w:p>
      <w:pPr/>
      <w:r>
        <w:t>仿真光子水平可从有效探测像素平均信号电子数10²、10³、10⁴三档起步，配合实测读出噪声和暗背景；归一化、增益与曝光规则对全部算法一致。未标定的归一化强度不能直接标注为真实光子数。不得给已经含噪的实测数据反复加噪后，仍按理想泊松模型解释。</w:t>
      </w:r>
    </w:p>
    <w:p>
      <w:pPr>
        <w:pStyle w:val="Heading2"/>
      </w:pPr>
      <w:r>
        <w:t>失配测试不要扩展成另一个课题</w:t>
      </w:r>
    </w:p>
    <w:p>
      <w:pPr/>
      <w:r>
        <w:t>距离偏差由实际标定不确定度决定，先测试零偏差及正负两档；明确改变的是 z_det，而非样品对焦距离。参考相位的数值扰动可以模拟校准误差，但应称“相位校准失配”，不能据此宣称实验抗弯曲。真实弯曲测试需独立采集，第一版不强制要求。参考误差可能同时影响初值与解调；消融应固定其中一个，只改变另一个，并同时检查端面与样品平面误差。</w:t>
      </w:r>
    </w:p>
    <w:p>
      <w:pPr/>
      <w:r>
        <w:t>第一版不做“所有噪声 × 所有距离 × 所有支持域 × 所有初始化”的全组合。主矩阵约为24个测试场景 × 4方法 × 4噪声条件 × 3种子；无噪声确定性重复合并。其余消融只选少量代表场景，全部先做资源估算。</w:t>
      </w:r>
    </w:p>
    <w:p>
      <w:pPr>
        <w:pStyle w:val="Callout"/>
        <w:shd w:fill="EDF3F6"/>
      </w:pPr>
      <w:r>
        <w:rPr>
          <w:b/>
        </w:rPr>
        <w:t>扩大计算的前提：</w:t>
      </w:r>
      <w:r>
        <w:t xml:space="preserve"> 一张代表性样品的前向预测、相位参考和误差指标全部通过人工核对。增加运行数量不能替代修正不可信的测量模型。</w:t>
      </w:r>
    </w:p>
    <w:p>
      <w:pPr>
        <w:pStyle w:val="Heading1"/>
        <w:pageBreakBefore/>
      </w:pPr>
      <w:r>
        <w:t>06  指标、统计与公平比较规则</w:t>
      </w:r>
    </w:p>
    <w:p>
      <w:pPr>
        <w:pStyle w:val="Subtitle"/>
      </w:pPr>
      <w:r>
        <w:t>同时报告“恢复得对不对”和“代价多大”，不只展示视觉效果</w:t>
      </w:r>
    </w:p>
    <w:p>
      <w:pPr>
        <w:pStyle w:val="Heading2"/>
      </w:pPr>
      <w:r>
        <w:t>主指标与可消除的不确定性</w:t>
      </w:r>
    </w:p>
    <w:p>
      <w:pPr>
        <w:pStyle w:val="Formula"/>
      </w:pPr>
      <w:r>
        <w:t>θ = arg[Σᵢ wᵢ u_ref,ᵢ* u_recon,ᵢ]；  u_aligned = u_recon · exp(−iθ)</w:t>
      </w:r>
    </w:p>
    <w:p>
      <w:pPr>
        <w:pStyle w:val="Formula"/>
      </w:pPr>
      <w:r>
        <w:t>复场 NRMSE = ||√w ⊙ (u_aligned − u_ref)||₂ / ||√w ⊙ u_ref||₂</w:t>
      </w:r>
    </w:p>
    <w:p>
      <w:pPr/>
      <w:r>
        <w:t>默认只对齐一个全局相位；不按像素或纤芯单独减相位，不逐方法去除任意倾斜，不用参考答案调整振幅增益。确需讨论“忽略全局幅值标度”的形状误差时，作为次要指标单列。所有方法使用同一固定配准与带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2154"/>
        <w:gridCol w:w="7200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实施要求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相位 RMSE（rad）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计算圆周相位差 angle(exp(iΔφ)) 的 RMSE；有效区域由参考和独立质量规则确定，不按重建结果自选。弱相位靶另报台阶幅度偏差，防止未恢复样品也获得很小绝对误差。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样品 OPD 误差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仅在参考可信且解包裹成功的区域评估。透射条件 OPD=λΔφ/(2π)；此处不使用反射高度公式。解包裹失败单独记录。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振幅与测量残差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振幅 NRMSE、检测强度/幅值残差为辅助项。残差低不等于相位正确；PSNR/SSIM只作补充，固定范围、不逐图归一化。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效率与可靠性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记录求解时间、端到端时间、传播调用、显存峰值、失败比例；报告误差分布，不只报告最佳样本。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公平性必须写入冻结协议</w:t>
      </w:r>
    </w:p>
    <w:p>
      <w:pPr/>
      <w:r>
        <w:t>参数只用开发集调优，记录每种方法的试验预算。停止规则、检查点、有效区域、配准、滤波及失败定义均在正式测试前固定。测试真值只进入评分模块；不能用它选最好的一次初始化、最优迭代步或最优焦面。</w:t>
      </w:r>
    </w:p>
    <w:p>
      <w:pPr/>
      <w:r>
        <w:t>不同方法使用配对样品和配对噪声。置信区间按独立场景重采样；实测按目标与会话结构分层报告，不把像素、重复帧或同源噪声版当作独立统计样本。失败、超时及显存不足均保留。成功阈值应依据应用容差和参考不确定度确定，不凭一次小台阶恢复宣布轴向分辨率。</w:t>
      </w:r>
    </w:p>
    <w:p>
      <w:pPr>
        <w:pStyle w:val="Heading2"/>
      </w:pPr>
      <w:r>
        <w:t>计时与最终输出</w:t>
      </w:r>
    </w:p>
    <w:p>
      <w:pPr/>
      <w:r>
        <w:t>正式计时前预热并同步 GPU，求解器时间排除绘图与文件读写，端到端时间另报；相同硬件、精度、后端和输入尺寸比较。校准代价单列，按帧数 N 报告摊销时间 T_cal/N + T_sample。原论文历史硬件上的时间不作为本工作站结果。</w:t>
      </w:r>
    </w:p>
    <w:p>
      <w:pPr/>
      <w:r>
        <w:t>输出至少包含：每条件误差表、误差—时间曲线、失败率、代表成功/失败案例和全部运行清单。不得用 test 集表现最好的检查点替代预先规定的算法输出。</w:t>
      </w:r>
    </w:p>
    <w:p>
      <w:pPr>
        <w:pStyle w:val="Heading1"/>
        <w:pageBreakBefore/>
      </w:pPr>
      <w:r>
        <w:t>07  软件结构与 Codex 的分工</w:t>
      </w:r>
    </w:p>
    <w:p>
      <w:pPr>
        <w:pStyle w:val="Subtitle"/>
      </w:pPr>
      <w:r>
        <w:t>学生负责物理与证据；Codex 承担实现、测试、批处理和报告生成</w:t>
      </w:r>
    </w:p>
    <w:p>
      <w:pPr>
        <w:pStyle w:val="Heading2"/>
      </w:pPr>
      <w:r>
        <w:t>技术路线与目录</w:t>
      </w:r>
    </w:p>
    <w:p>
      <w:pPr/>
      <w:r>
        <w:t>优先保留 MATLAB 原始实现作为只读参考；比较框架先选择学生熟悉且能正确运行的一种后端。若迁移到 Python/GPU，先验证同一输入、同一迭代的数值一致性，并单独标记迁移版本；不把 CPU 原始代码与 GPU 优化代码的差异全部归因于算法。</w:t>
      </w:r>
    </w:p>
    <w:p>
      <w:pPr>
        <w:pStyle w:val="CodeBlock"/>
        <w:shd w:fill="EDF3F6"/>
      </w:pPr>
      <w:r>
        <w:t>legacy_fast/        # 冻结的原始代码与版本信息</w:t>
        <w:br/>
        <w:t>data/raw/          # 原始数据，只读</w:t>
        <w:br/>
        <w:t>data/derived/      # 预处理结果与来源记录</w:t>
        <w:br/>
        <w:t>src/operators/     # 传播、校准、支持域</w:t>
        <w:br/>
        <w:t>src/solvers/       # HIO、ER、RAAR、幅值-LBFGS</w:t>
        <w:br/>
        <w:t>src/metrics/       # 相位/复场/OPD与计时</w:t>
        <w:br/>
        <w:t>configs/  tests/   # 冻结配置、单元测试</w:t>
        <w:br/>
        <w:t>runs/  reports/    # 每次运行日志、统计、失败清单</w:t>
        <w:br/>
        <w:t>evaluation_only/   # 测试参考，仅评分模块访问</w:t>
        <w:br/>
        <w:t>manuscript/        # 图表、方法和论文草稿</w:t>
      </w:r>
    </w:p>
    <w:p>
      <w:pPr>
        <w:pStyle w:val="Heading2"/>
      </w:pPr>
      <w:r>
        <w:t>每次运行必须可追溯</w:t>
      </w:r>
    </w:p>
    <w:p>
      <w:pPr/>
      <w:r>
        <w:t>run_id、代码版本、数据哈希、校准ID、样品/会话ID、种子、网格/像素/波长/距离、算法参数、停止原因、算子调用、时间和显存全部入日志。每幅论文图应能追溯到配置、原始数据和生成命令。不要用手动覆盖文件夹的方式管理“最终结果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531"/>
        <w:gridCol w:w="7824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负责人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主要职责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学生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确认前向模型与参数；采集独立参考；检查异常和不确定性；批准正式实验；解释结果并写作。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Codex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整理接口；实现与测试算法；生成小规模试验；执行获批队列；保留失败；自动生成统计和图表。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导师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确认研究边界、公平协议与主要指标；审核关键物理问题；决定扩大、收缩或停止支线。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自动化护栏</w:t>
      </w:r>
    </w:p>
    <w:p>
      <w:pPr/>
      <w:r>
        <w:t>在 AGENTS.md 中记录项目约定，供 Codex 读取[6]。禁止修改原始数据、测试划分和参考答案；禁止自行增加测量或先验、剔除失败、上传未发表数据，以及因结果不理想而改评分规则。</w:t>
      </w:r>
    </w:p>
    <w:p>
      <w:pPr/>
      <w:r>
        <w:t>权限和资源控制要实际落地：原始目录只读、测试评分与调参隔离、实验有时间/显存上限，初期只开一个GPU任务。先跑单样品，再小批量，人工确认后才运行正式矩阵；不能只靠提示词要求“注意安全”。</w:t>
      </w:r>
    </w:p>
    <w:p>
      <w:pPr>
        <w:pStyle w:val="Heading1"/>
        <w:pageBreakBefore/>
      </w:pPr>
      <w:r>
        <w:t>08  八周执行计划与阶段验收</w:t>
      </w:r>
    </w:p>
    <w:p>
      <w:pPr>
        <w:pStyle w:val="Subtitle"/>
      </w:pPr>
      <w:r>
        <w:t>时间为管理预算；前提是原数据、运行环境与参考测量能够接通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361"/>
        <w:gridCol w:w="4535"/>
        <w:gridCol w:w="3458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工作与交付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第1周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阅读正文/补充材料与代码；盘点数据；画出平面关系；输出数据字典和待确认项。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能解释每项输入和约束，不再混淆 MMF/MCF、参考/样品、检测距离/工作距离。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第2周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复现原始示例；通过传播/指标测试；完成 HIO 与 ER；验证同视场全息参考的可行性。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至少一个样品从原始输入到定量评分可复现；参考误差来源可说明。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第3–4周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加入 RAAR、L-BFGS；小规模消融；制定调参、计时、失败与数据划分协议。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四方法输入一致、无重复项；参数/评估冻结；正式计算规模可承受。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第5–6周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采集并核验实测参考；执行冻结仿真与实测矩阵；完整保留运行记录。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结果具有可追溯证据；不以追加调参替代解释失败。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第7–8周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统计与不确定性；整理5张主图；完成方法、结果、讨论及可复现包。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每项结论均有相应实验；全部主图可按配置重建。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两个必须开会判断的节点</w:t>
      </w:r>
    </w:p>
    <w:p>
      <w:pPr/>
      <w:r>
        <w:rPr>
          <w:b/>
        </w:rPr>
        <w:t>第2周：复现关。</w:t>
      </w:r>
      <w:r>
        <w:t xml:space="preserve"> 如果公开示例数据或原始环境暂不可用，应提交具体缺项和补救路径，先用明确标记的仿真完成软件测试；不能把替代数据运行成功称为“复现原论文”。若参考不稳定，先解决参考测量，不启动大规模算法排名。</w:t>
      </w:r>
    </w:p>
    <w:p>
      <w:pPr/>
      <w:r>
        <w:rPr>
          <w:b/>
        </w:rPr>
        <w:t>第4周：成文关。</w:t>
      </w:r>
      <w:r>
        <w:t xml:space="preserve"> 判断是否已建立公平比较、可信参考和具有解释性的差异。若只有配置不同造成的排名，优先修正协议；若同一强度对应的多种解难区分，检查信息与约束。若实测参考迟迟无法获得，收缩成内部基准工具，暂缓完整论文投入。</w:t>
      </w:r>
    </w:p>
    <w:p>
      <w:pPr>
        <w:pStyle w:val="Heading2"/>
      </w:pPr>
      <w:r>
        <w:t>学生训练的验收标准</w:t>
      </w:r>
    </w:p>
    <w:p>
      <w:pPr/>
      <w:r>
        <w:t>能独立讲清从样品到散斑的测量链与误差来源；能从原始数据重建任一图；能主动构造一个失败案例并解释它；能说明算法为何使用这些约束，而不是只转述 Codex 的说明。每周汇报“新证据、未解问题、下一步决策”，不以代码行数或运行次数作为进展。</w:t>
      </w:r>
    </w:p>
    <w:p>
      <w:pPr>
        <w:pStyle w:val="Heading2"/>
      </w:pPr>
      <w:r>
        <w:t>资源投入的优先级</w:t>
      </w:r>
    </w:p>
    <w:p>
      <w:pPr/>
      <w:r>
        <w:t>优先顺序为：参考可信度 → 算子与指标正确 → 四方法一致性 → 小矩阵发现规律 → 正式数据与论文。新算法改进只在这些环节建立后另行提出；第一版不为追求某个预期排名反复修改算法。</w:t>
      </w:r>
    </w:p>
    <w:p>
      <w:pPr>
        <w:pStyle w:val="Callout"/>
        <w:shd w:fill="EDF3F6"/>
      </w:pPr>
      <w:r>
        <w:rPr>
          <w:b/>
        </w:rPr>
        <w:t>最终验收包：</w:t>
      </w:r>
      <w:r>
        <w:t xml:space="preserve"> 冻结协议、数据清单与参考说明、四类方法卡、可重建主图的运行脚本、失败案例、论文初稿，以及清楚标出的局限与待验证事项。</w:t>
      </w:r>
    </w:p>
    <w:p>
      <w:pPr>
        <w:pStyle w:val="Heading1"/>
        <w:pageBreakBefore/>
      </w:pPr>
      <w:r>
        <w:t>09  论文组织与预期图表</w:t>
      </w:r>
    </w:p>
    <w:p>
      <w:pPr>
        <w:pStyle w:val="Subtitle"/>
      </w:pPr>
      <w:r>
        <w:t>文章按科学问题组织，而不是按“实现了多少算法”组织</w:t>
      </w:r>
    </w:p>
    <w:p>
      <w:pPr>
        <w:pStyle w:val="Heading2"/>
      </w:pPr>
      <w:r>
        <w:t>建议叙事</w:t>
      </w:r>
    </w:p>
    <w:p>
      <w:pPr/>
      <w:r>
        <w:t>已有 FAST 体系证明了基于 MCF 散斑的定量相位成像可行性。[1] 本文进一步考察在相同测量预算和已知校准条件下，不同求解策略的精度、计算代价与适用边界。通用相位恢复工具已存在，例如 PhasePack[5]；本课题的增量应来自 MCF 特定测量条件、独立实测参考和误差来源分析，而不是泛化的算法清单。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928"/>
        <w:gridCol w:w="4195"/>
        <w:gridCol w:w="3231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主图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建议内容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对应结论类型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图1 问题与协议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参考/样品测量、共同输入、重建平面、数据与算法比较层级。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比较的是同一物理问题、相同信息预算。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图2 重建精度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代表样品；参考与四方法复场/相位；统一色标的误差图与剖面。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可见细节是否对应真实定量改善。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图3 精度—代价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误差随墙钟时间/传播调用变化；中位数、区间和失败比例。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是否存在精度与效率的折中。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图4 适用边界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噪声曲线、初始化消融、少量校准失配案例或二维条件图。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求解器优势是否依赖初始化或校准。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图5 独立实测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同视场全息参考；相位/OPD误差；会话间结果；失败实例。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受控仿真中的结论能否迁移到真实实验。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/>
      <w:r>
        <w:t>补充材料容纳全部参数、方法更新式、更多场景、支持域/后处理消融、参考不确定性和复现说明。正文保留最能回答问题的结果，不用十几张近似效果图堆叠篇幅。</w:t>
      </w:r>
    </w:p>
    <w:p>
      <w:pPr>
        <w:pStyle w:val="Heading2"/>
      </w:pPr>
      <w:r>
        <w:t>哪些可以成为结论，哪些现在还不能写</w:t>
      </w:r>
    </w:p>
    <w:p>
      <w:pPr/>
      <w:r>
        <w:t>“参考初始化的重要性高于更换求解器”“某种方法在低信号区更稳定”“较低测量残差不保证更小相位误差”都只是待检验假设。完成实验后可据证据保留、限定或否定；不预填排名，也不将数值校准扰动写成真实抗弯曲能力。</w:t>
      </w:r>
    </w:p>
    <w:p>
      <w:pPr/>
      <w:r>
        <w:t>统计相近时报告无明确差异和估计区间，而不是必须挑一个冠军。仅在一根光纤、有限样品族和既定预算上得到的结论，应明确限定范围。不同后处理造成的视觉改善不能直接称为分辨率提升。</w:t>
      </w:r>
    </w:p>
    <w:p>
      <w:pPr>
        <w:pStyle w:val="Heading2"/>
      </w:pPr>
      <w:r>
        <w:t>开始前导师交给学生的最小材料</w:t>
      </w:r>
    </w:p>
    <w:p>
      <w:pPr/>
      <w:r>
        <w:t>原文及补充材料、FAST 代码与可用数据位置、当前光路/相机/光纤参数、可调用的全息参考装置、数据使用与公开边界。工作站配置由学生现场核验并记录，不沿用历史论文的显卡和运行时间。学生第一份交付不是论文初稿，而是两页复现审计和一个可重复执行的示例。</w:t>
      </w:r>
    </w:p>
    <w:p>
      <w:pPr>
        <w:pStyle w:val="Heading1"/>
        <w:pageBreakBefore/>
      </w:pPr>
      <w:r>
        <w:t>附录 A  可直接交给 Codex 的首轮任务</w:t>
      </w:r>
    </w:p>
    <w:p>
      <w:pPr>
        <w:pStyle w:val="Subtitle"/>
      </w:pPr>
      <w:r>
        <w:t>先审计、复现与验证；本轮不开展大规模搜索</w:t>
      </w:r>
    </w:p>
    <w:p>
      <w:pPr>
        <w:pStyle w:val="Callout"/>
        <w:shd w:fill="EDF3F6"/>
      </w:pPr>
      <w:r>
        <w:rPr>
          <w:b/>
        </w:rPr>
        <w:t>任务名称：</w:t>
      </w:r>
      <w:r>
        <w:t xml:space="preserve"> 接手 FAST 相位恢复基准项目，完成只读审计和单样品复现。当前阶段不要求优化算法、不要求得出方法排名，也不允许填补缺失实测数据。</w:t>
      </w:r>
    </w:p>
    <w:p>
      <w:pPr>
        <w:pStyle w:val="Heading2"/>
      </w:pPr>
      <w:r>
        <w:t>任务说明</w:t>
      </w:r>
    </w:p>
    <w:p>
      <w:pPr/>
      <w:r>
        <w:t>阅读项目提供的 Light 论文、补充材料及 FAST 原始 main.m、prop.m。盘点现有文件；找不到文件或参数时写入待确认清单，不猜测路径、单位和数据含义。冻结原始代码副本及版本信息，原始数据只读。先检查运行环境，再决定是否能够执行 MATLAB 代码。</w:t>
      </w:r>
    </w:p>
    <w:p>
      <w:pPr/>
      <w:r>
        <w:t>建立数据字典：原始强度、预处理幅值、端面参考、两个检测距离、样品距离、像素尺寸、倍率、波长、偏振和支持域来源。将每个量对应到物理平面。指出哪些信息由校准提供，哪些属于样品测量，哪些仅用于评价。</w:t>
      </w:r>
    </w:p>
    <w:p>
      <w:pPr/>
      <w:r>
        <w:t>逐项审查 HIO 型更新与支持域含义、FFT/传播约定、幅值为零时的处理、输出变量更新位置、显示偏移和中值滤波。原始版保持不变；任何数值安全修复或重构均另开版本，并报告与原始版的差异，不把修正后的代码冒称逐字复现。</w:t>
      </w:r>
    </w:p>
    <w:p>
      <w:pPr/>
      <w:r>
        <w:t>选择一个真实可用的示例，先执行原始配置，保存校准相位、实际末次复场、原始相位差和原生显示结果。记录软件/硬件、随机种子、时间、显存和运行命令。若缺少 MATLAB、数据或依赖，报告阻塞原因；可以另做明确标记的数值测试，但不能声称原始示例已复现。</w:t>
      </w:r>
    </w:p>
    <w:p>
      <w:pPr/>
      <w:r>
        <w:t>实现最小单元测试：零距离传播、合理带限下往返传播、伴随一致性、HIO 更新代数等价、全局相位对齐正确、零幅值不产生未处理异常。初始只增加 ER 基线，不加入额外样品先验，不改变原数据归一化，不接触锁定测试真值。</w:t>
      </w:r>
    </w:p>
    <w:p>
      <w:pPr>
        <w:pStyle w:val="Heading2"/>
      </w:pPr>
      <w:r>
        <w:t>本轮需要生成的文件</w:t>
      </w:r>
    </w:p>
    <w:p>
      <w:pPr>
        <w:pStyle w:val="CodeBlock"/>
        <w:shd w:fill="EDF3F6"/>
      </w:pPr>
      <w:r>
        <w:t>REPORT_reproduction.md   # 已完成、缺失项、数值差异与风险</w:t>
        <w:br/>
        <w:t>data_manifest.json       # 来源、变量、单位、哈希、用途</w:t>
        <w:br/>
        <w:t>RUNBOOK.md               # 环境、命令、复现路径</w:t>
        <w:br/>
        <w:t>tests/                   # 最小测试及通过/失败记录</w:t>
        <w:br/>
        <w:t>runs/pilot/              # 单样品配置、中间量与运行日志</w:t>
        <w:br/>
        <w:t>PLAN_next_step.md        # 下一轮任务与资源估算，等待人工审核</w:t>
      </w:r>
    </w:p>
    <w:p>
      <w:pPr>
        <w:pStyle w:val="Heading2"/>
      </w:pPr>
      <w:r>
        <w:t>禁止事项与停机条件</w:t>
      </w:r>
    </w:p>
    <w:p>
      <w:pPr/>
      <w:r>
        <w:t>不得上传未发表数据，不得改写原始输入、人工真值或数据划分，不得删除失败记录，不得为了更好结果增加测量或先验，不得自动开启多任务长时间 GPU 扫描。发生缺文件、单位矛盾、非有限数值、资源超限或无法解释的参考偏差时，停止相关运行并报告。</w:t>
      </w:r>
    </w:p>
    <w:p>
      <w:pPr/>
      <w:r>
        <w:t>学生验收后，第二轮才统一求解器接口；第三轮才加入 RAAR/L-BFGS 与小规模实验；冻结协议后才执行正式队列。上述文本应配合真实文件权限和资源控制使用，不以文字约定代替访问限制。</w:t>
      </w:r>
    </w:p>
    <w:p>
      <w:pPr>
        <w:pStyle w:val="Heading1"/>
        <w:pageBreakBefore/>
      </w:pPr>
      <w:r>
        <w:t>附录 B  技术检查清单与资料来源</w:t>
      </w:r>
    </w:p>
    <w:p>
      <w:pPr>
        <w:pStyle w:val="Subtitle"/>
      </w:pPr>
      <w:r>
        <w:t>将来源事实、计算推导和新实验设计分开记录</w:t>
      </w:r>
    </w:p>
    <w:p>
      <w:pPr>
        <w:pStyle w:val="Heading2"/>
      </w:pPr>
      <w:r>
        <w:t>实施前的技术检查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7"/>
          <w:left w:val="single" w:sz="4" w:color="D8E2E7"/>
          <w:bottom w:val="single" w:sz="4" w:color="D8E2E7"/>
          <w:right w:val="single" w:sz="4" w:color="D8E2E7"/>
          <w:insideH w:val="single" w:sz="4" w:color="D8E2E7"/>
          <w:insideV w:val="single" w:sz="4" w:color="D8E2E7"/>
        </w:tblBorders>
      </w:tblPr>
      <w:tblGrid>
        <w:gridCol w:w="1871"/>
        <w:gridCol w:w="748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74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94B65"/>
          </w:tcPr>
          <w:p>
            <w:pPr>
              <w:pStyle w:val="BodySmall"/>
              <w:spacing w:after="0" w:before="0" w:line="264" w:lineRule="auto"/>
            </w:pPr>
            <w:r>
              <w:rPr>
                <w:b/>
                <w:color w:val="FFFFFF"/>
              </w:rPr>
              <w:t>通过条件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数据与归一化</w:t>
            </w:r>
          </w:p>
        </w:tc>
        <w:tc>
          <w:tcPr>
            <w:tcW w:type="dxa" w:w="74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识别强度/幅值；保留暗场、增益、曝光和饱和标记；坏点或未观测像素不被当成零强度约束。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采样与传播</w:t>
            </w:r>
          </w:p>
        </w:tc>
        <w:tc>
          <w:tcPr>
            <w:tcW w:type="dxa" w:w="74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确认相机像素到传播网格的对应关系；核验正负距离、频率坐标、带限与裁剪；不无理由修改原实现。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模型与梯度</w:t>
            </w:r>
          </w:p>
        </w:tc>
        <w:tc>
          <w:tcPr>
            <w:tcW w:type="dxa" w:w="74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已知小复场可正确正向生成；真实场在无噪声同模型下满足测量；优化梯度通过有限差分。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指标与公平性</w:t>
            </w:r>
          </w:p>
        </w:tc>
        <w:tc>
          <w:tcPr>
            <w:tcW w:type="dxa" w:w="74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6F9FA"/>
          </w:tcPr>
          <w:p>
            <w:pPr>
              <w:pStyle w:val="BodySmall"/>
              <w:spacing w:after="0" w:before="0" w:line="264" w:lineRule="auto"/>
            </w:pPr>
            <w:r>
              <w:t>全局相位变换不改变评分；固定振幅缩放不被暗中消去；物理输出与内部迭代量分开；测试真值不参与选择。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实测参考</w:t>
            </w:r>
          </w:p>
        </w:tc>
        <w:tc>
          <w:tcPr>
            <w:tcW w:type="dxa" w:w="74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BodySmall"/>
              <w:spacing w:after="0" w:before="0" w:line="264" w:lineRule="auto"/>
            </w:pPr>
            <w:r>
              <w:t>确认同一对象与对应光场；测量参考重复性；固定配准与带宽；记录不同会话与光纤状态。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主要资料</w:t>
      </w:r>
    </w:p>
    <w:p>
      <w:pPr/>
      <w:r>
        <w:t>[1] Sun, J., Wu, J., Wu, S., et al. Quantitative phase imaging through an ultra-thin lensless fiber endoscope. Light: Science &amp; Applications 11, 204 (2022). DOI: 10.1038/s41377-022-00898-2. 核对重点：图2、Methods、参考/样品重建与补充材料。</w:t>
      </w:r>
    </w:p>
    <w:p>
      <w:pPr/>
      <w:r>
        <w:t>[2] Jiawei-sn/FAST，作者公开 GitHub 仓库。核对 README、main.m、prop.m；访问日期：2026-09-26。实施时固定具体提交版本。公开示例数据由 README 的外部入口提供，本说明未实际运行该数据。</w:t>
      </w:r>
    </w:p>
    <w:p>
      <w:pPr/>
      <w:r>
        <w:t>[3] Fienup, J. R. Phase retrieval algorithms: a comparison. Applied Optics 21, 2758–2769 (1982). DOI: 10.1364/AO.21.002758. 用于核对 ER/HIO 的约束与更新定义。</w:t>
      </w:r>
    </w:p>
    <w:p>
      <w:pPr/>
      <w:r>
        <w:t>[4] Luke, D. R. Relaxed Averaged Alternating Reflections for Diffraction Imaging. Inverse Problems 21, 37–50 (2005). 预印本：arXiv:math/0405208. 用于核对 RAAR。</w:t>
      </w:r>
    </w:p>
    <w:p>
      <w:pPr/>
      <w:r>
        <w:t>[5] PhasePack: A Phase Retrieval Library，University of Maryland / Tom Goldstein 官方项目页及原始代码。用于了解通用基准组织方式；其默认测量、初始化与保证不能不加检查地套用到本课题。</w:t>
      </w:r>
    </w:p>
    <w:p>
      <w:pPr/>
      <w:r>
        <w:t>[6] OpenAI 官方文档：Custom instructions with AGENTS.md / Using AGENTS.md。用于设置 Codex 项目指令；访问日期：2026-09-26。</w:t>
      </w:r>
    </w:p>
    <w:p>
      <w:pPr>
        <w:pStyle w:val="Heading2"/>
      </w:pPr>
      <w:r>
        <w:t>资料核验状态与待确认项</w:t>
      </w:r>
    </w:p>
    <w:p>
      <w:pPr/>
      <w:r>
        <w:t>本说明已核对原论文正文与公开代码，并对样品更新作代数分析；未实际运行 FAST、未验证公开数据下载、未完成补充材料逐项核对，也未核验当前工作站参数。正式开始时补齐这些项目，并由学生记录差异。</w:t>
      </w:r>
    </w:p>
    <w:p>
      <w:pPr/>
      <w:r>
        <w:t>本说明提出的四方法组合、开发/测试数量、噪声档位、传播预算、八周计划与验收流程，均是新课题的建议设计，而非原 FAST 论文的实验结果或既定最优方案。</w:t>
      </w:r>
    </w:p>
    <w:p>
      <w:pPr>
        <w:pStyle w:val="Callout"/>
        <w:shd w:fill="EDF3F6"/>
      </w:pPr>
      <w:r>
        <w:rPr>
          <w:b/>
        </w:rPr>
        <w:t>完成标准：</w:t>
      </w:r>
      <w:r>
        <w:t xml:space="preserve"> 让另一名研究者拿到数据说明、配置和代码后，能够重复主要比较，并理解每条结论适用于什么条件、依赖什么参考、还不能说明什么。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964" w:left="1247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  <w:jc w:val="right"/>
    </w:pPr>
    <w:r>
      <w:t xml:space="preserve">学生课题说明  ·  v1.0    |  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80"/>
      <w:pBdr>
        <w:bottom w:val="single" w:sz="6" w:space="5" w:color="D8E2E7"/>
      </w:pBdr>
    </w:pPr>
    <w:r>
      <w:t>FAST  /  PHASE RETRIEVAL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Calibri" w:hAnsi="Calibri" w:cs="Calibri" w:eastAsia="Noto Sans CJK SC"/>
      <w:b w:val="0"/>
      <w:color w:val="17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cs="Calibri" w:eastAsia="Noto Sans CJK SC"/>
      <w:b/>
      <w:bCs/>
      <w:color w:val="194B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60"/>
      <w:outlineLvl w:val="1"/>
    </w:pPr>
    <w:rPr>
      <w:rFonts w:asciiTheme="majorHAnsi" w:eastAsiaTheme="majorEastAsia" w:hAnsiTheme="majorHAnsi" w:cstheme="majorBidi" w:ascii="Calibri" w:hAnsi="Calibri" w:cs="Calibri" w:eastAsia="Noto Sans CJK SC"/>
      <w:b/>
      <w:bCs/>
      <w:color w:val="194B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Noto Sans CJK SC"/>
      <w:b/>
      <w:color w:val="194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 w:cs="Calibri" w:eastAsia="Noto Sans CJK SC"/>
      <w:b w:val="0"/>
      <w:i/>
      <w:iCs/>
      <w:color w:val="5C6B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Calibri" w:hAnsi="Calibri" w:cs="Calibri" w:eastAsia="Noto Sans CJK SC"/>
      <w:b w:val="0"/>
      <w:bCs/>
      <w:color w:val="5C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Small"/>
    <w:pPr>
      <w:widowControl/>
      <w:spacing w:line="269" w:lineRule="auto" w:after="120"/>
    </w:pPr>
    <w:rPr>
      <w:rFonts w:ascii="Calibri" w:hAnsi="Calibri" w:cs="Calibri" w:eastAsia="Noto Sans CJK SC"/>
      <w:b w:val="0"/>
      <w:color w:val="172A34"/>
      <w:sz w:val="18"/>
    </w:rPr>
  </w:style>
  <w:style w:type="paragraph" w:customStyle="1" w:styleId="CodeBlock">
    <w:name w:val="CodeBlock"/>
    <w:pPr>
      <w:widowControl/>
      <w:spacing w:line="269" w:lineRule="auto" w:after="160"/>
      <w:ind w:left="170"/>
    </w:pPr>
    <w:rPr>
      <w:rFonts w:ascii="Consolas" w:hAnsi="Consolas" w:cs="Consolas" w:eastAsia="Noto Sans CJK SC"/>
      <w:b w:val="0"/>
      <w:color w:val="172A34"/>
      <w:sz w:val="18"/>
    </w:rPr>
  </w:style>
  <w:style w:type="paragraph" w:customStyle="1" w:styleId="Formula">
    <w:name w:val="Formula"/>
    <w:pPr>
      <w:widowControl/>
      <w:spacing w:line="269" w:lineRule="auto" w:after="140"/>
      <w:ind w:left="142"/>
    </w:pPr>
    <w:rPr>
      <w:rFonts w:ascii="Calibri" w:hAnsi="Calibri" w:cs="Calibri" w:eastAsia="Noto Sans CJK SC"/>
      <w:b w:val="0"/>
      <w:color w:val="172A34"/>
      <w:sz w:val="21"/>
    </w:rPr>
  </w:style>
  <w:style w:type="paragraph" w:customStyle="1" w:styleId="Callout">
    <w:name w:val="Callout"/>
    <w:pPr>
      <w:widowControl/>
      <w:spacing w:line="269" w:lineRule="auto" w:after="180" w:before="120"/>
      <w:ind w:left="125" w:right="125"/>
    </w:pPr>
    <w:rPr>
      <w:rFonts w:ascii="Calibri" w:hAnsi="Calibri" w:cs="Calibri" w:eastAsia="Noto Sans CJK SC"/>
      <w:b w:val="0"/>
      <w:color w:val="172A3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FAST 的无透镜多芯光纤相位恢复基准研究</dc:title>
  <dc:subject>学生课题说明、比较协议、实施计划与 Codex 首轮任务</dc:subject>
  <dc:creator/>
  <cp:keywords>FAST; MCF; phase retrieval; benchmark; HIO; student project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