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圆形端面多芯光纤：四方法比较</w:t>
      </w:r>
    </w:p>
    <w:p>
      <w:r>
        <w:t>阶段汇报｜2026年10月3日｜呈佳伟老师</w:t>
      </w:r>
    </w:p>
    <w:p>
      <w:r>
        <w:t>佳伟老师：本阶段完成了圆形端面多芯光纤（MCF）的周期与非周期两类模拟，并在统一输入、初值和传播预算下比较 HIO、ER、RAAR 与 L-BFGS。16 项求解任务全部完成，几何检查和数值测试均通过。</w:t>
      </w:r>
    </w:p>
    <w:p>
      <w:pPr>
        <w:pStyle w:val="Heading2"/>
      </w:pPr>
      <w:r>
        <w:t>主要发现</w:t>
      </w:r>
    </w:p>
    <w:p>
      <w:r>
        <w:t>1. 无噪声时，两类布局均以 RAAR 的复场误差最低。</w:t>
      </w:r>
    </w:p>
    <w:p>
      <w:r>
        <w:t>2. 含噪声时，四种算法中 ER 的复场误差最低；但从 80 次增加到 200 次传播后，误差反而上升。</w:t>
      </w:r>
    </w:p>
    <w:p>
      <w:r>
        <w:t>3. 含噪声时，四种算法的相位误差均高于初始参考。当前结果提示，应继续检查噪声处理与停止准则。</w:t>
      </w:r>
    </w:p>
    <w:p>
      <w:pPr>
        <w:pStyle w:val="Heading2"/>
      </w:pPr>
      <w:r>
        <w:t>核心结果：复场误差，越小越好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cantSplit/>
          <w:tblHeader/>
        </w:trPr>
        <w:tc>
          <w:tcPr>
            <w:tcW w:type="dxa" w:w="1663"/>
          </w:tcPr>
          <w:p>
            <w:r>
              <w:rPr>
                <w:sz w:val="18"/>
              </w:rPr>
              <w:t>布局 / 测量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初始参考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HIO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ER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RAAR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L-BFGS</w:t>
            </w:r>
          </w:p>
        </w:tc>
      </w:tr>
      <w:tr>
        <w:trPr>
          <w:cantSplit/>
        </w:trPr>
        <w:tc>
          <w:tcPr>
            <w:tcW w:type="dxa" w:w="1663"/>
          </w:tcPr>
          <w:p>
            <w:r>
              <w:rPr>
                <w:sz w:val="18"/>
              </w:rPr>
              <w:t>周期 / 无噪声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0.6555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0.1489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0.1475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0.1182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0.2123</w:t>
            </w:r>
          </w:p>
        </w:tc>
      </w:tr>
      <w:tr>
        <w:trPr>
          <w:cantSplit/>
        </w:trPr>
        <w:tc>
          <w:tcPr>
            <w:tcW w:type="dxa" w:w="1663"/>
          </w:tcPr>
          <w:p>
            <w:r>
              <w:rPr>
                <w:sz w:val="18"/>
              </w:rPr>
              <w:t>非周期 / 无噪声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0.6739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0.1267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0.1292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0.1027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0.1523</w:t>
            </w:r>
          </w:p>
        </w:tc>
      </w:tr>
      <w:tr>
        <w:trPr>
          <w:cantSplit/>
        </w:trPr>
        <w:tc>
          <w:tcPr>
            <w:tcW w:type="dxa" w:w="1663"/>
          </w:tcPr>
          <w:p>
            <w:r>
              <w:rPr>
                <w:sz w:val="18"/>
              </w:rPr>
              <w:t>周期 / 含噪声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0.6555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1.3988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0.6313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0.9480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0.8608</w:t>
            </w:r>
          </w:p>
        </w:tc>
      </w:tr>
      <w:tr>
        <w:trPr>
          <w:cantSplit/>
        </w:trPr>
        <w:tc>
          <w:tcPr>
            <w:tcW w:type="dxa" w:w="1663"/>
          </w:tcPr>
          <w:p>
            <w:r>
              <w:rPr>
                <w:sz w:val="18"/>
              </w:rPr>
              <w:t>非周期 / 含噪声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0.6739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1.3830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0.6231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0.9260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0.8542</w:t>
            </w:r>
          </w:p>
        </w:tc>
      </w:tr>
    </w:tbl>
    <w:p>
      <w:pPr>
        <w:spacing w:after="0"/>
      </w:pPr>
    </w:p>
    <w:p>
      <w:r>
        <w:rPr>
          <w:sz w:val="18"/>
        </w:rPr>
        <w:t>复场误差（NRMSE）衡量恢复的振幅与相位整体偏差，仅对齐一个全局相位。四算法均使用 200 次传播；“初始参考”为共同起点，未做迭代。</w:t>
      </w:r>
    </w:p>
    <w:p>
      <w:pPr>
        <w:pStyle w:val="Heading2"/>
      </w:pPr>
      <w:r>
        <w:t>增加计算量未改善含噪声结果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326"/>
          </w:tcPr>
          <w:p>
            <w:r>
              <w:rPr>
                <w:sz w:val="18"/>
              </w:rPr>
              <w:t>含噪声 ER</w:t>
            </w:r>
          </w:p>
        </w:tc>
        <w:tc>
          <w:tcPr>
            <w:tcW w:type="dxa" w:w="3326"/>
          </w:tcPr>
          <w:p>
            <w:r>
              <w:rPr>
                <w:sz w:val="18"/>
              </w:rPr>
              <w:t>80 次传播</w:t>
            </w:r>
          </w:p>
        </w:tc>
        <w:tc>
          <w:tcPr>
            <w:tcW w:type="dxa" w:w="3326"/>
          </w:tcPr>
          <w:p>
            <w:r>
              <w:rPr>
                <w:sz w:val="18"/>
              </w:rPr>
              <w:t>200 次传播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8"/>
              </w:rPr>
              <w:t>周期</w:t>
            </w:r>
          </w:p>
        </w:tc>
        <w:tc>
          <w:tcPr>
            <w:tcW w:type="dxa" w:w="3326"/>
          </w:tcPr>
          <w:p>
            <w:r>
              <w:rPr>
                <w:sz w:val="18"/>
              </w:rPr>
              <w:t>0.5487</w:t>
            </w:r>
          </w:p>
        </w:tc>
        <w:tc>
          <w:tcPr>
            <w:tcW w:type="dxa" w:w="3326"/>
          </w:tcPr>
          <w:p>
            <w:r>
              <w:rPr>
                <w:sz w:val="18"/>
              </w:rPr>
              <w:t>0.6313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8"/>
              </w:rPr>
              <w:t>非周期</w:t>
            </w:r>
          </w:p>
        </w:tc>
        <w:tc>
          <w:tcPr>
            <w:tcW w:type="dxa" w:w="3326"/>
          </w:tcPr>
          <w:p>
            <w:r>
              <w:rPr>
                <w:sz w:val="18"/>
              </w:rPr>
              <w:t>0.5495</w:t>
            </w:r>
          </w:p>
        </w:tc>
        <w:tc>
          <w:tcPr>
            <w:tcW w:type="dxa" w:w="3326"/>
          </w:tcPr>
          <w:p>
            <w:r>
              <w:rPr>
                <w:sz w:val="18"/>
              </w:rPr>
              <w:t>0.6231</w:t>
            </w:r>
          </w:p>
        </w:tc>
      </w:tr>
    </w:tbl>
    <w:p>
      <w:pPr>
        <w:spacing w:after="0"/>
      </w:pPr>
    </w:p>
    <w:p>
      <w:r>
        <w:t>本轮为固定种子、单个混合样品的合成试运行，采用已知参考复场；上述比较限于本轮条件。</w:t>
      </w:r>
    </w:p>
    <w:p>
      <w:r>
        <w:t>请佳伟老师指导下一阶段的工作重点。</w:t>
      </w:r>
    </w:p>
    <w:p>
      <w:pPr>
        <w:sectPr>
          <w:footerReference w:type="default" r:id="rId9"/>
          <w:pgSz w:w="11906" w:h="16838"/>
          <w:pgMar w:top="850" w:right="964" w:bottom="850" w:left="964" w:header="720" w:footer="397" w:gutter="0"/>
          <w:cols w:space="720"/>
          <w:docGrid w:linePitch="360"/>
        </w:sectPr>
      </w:pPr>
    </w:p>
    <w:p>
      <w:pPr>
        <w:pStyle w:val="Heading1"/>
      </w:pPr>
      <w:r>
        <w:t>模型、比较条件与材料索引</w:t>
      </w:r>
    </w:p>
    <w:p>
      <w:r>
        <w:drawing>
          <wp:inline xmlns:a="http://schemas.openxmlformats.org/drawingml/2006/main" xmlns:pic="http://schemas.openxmlformats.org/drawingml/2006/picture">
            <wp:extent cx="5868000" cy="39103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lar_geome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910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图1｜本次运行的实际布局。左：周期排列；右：非周期排列。黑实线为物理端面，红虚线为算法支持域（允许恢复光场的区域），蓝圈为纤芯。两组均为 163 芯，坐标单位为微米。</w:t>
      </w:r>
    </w:p>
    <w:p>
      <w:pPr>
        <w:pStyle w:val="Heading2"/>
      </w:pPr>
      <w:r>
        <w:t>共同条件</w:t>
      </w:r>
    </w:p>
    <w:p>
      <w:r>
        <w:t>物理端面半径 26 微米，芯中心范围 22 微米，算法支持域半径 29 微米。周期组芯间距 3.2 微米；非周期组最小芯间距 2.4 微米。端面外场能量检查为零。</w:t>
      </w:r>
    </w:p>
    <w:p>
      <w:r>
        <w:t>两类布局均使用同一混合样品、已知合成参考校准和相同初始化规则。含噪声数据加入散粒噪声与读出噪声：总参考光子数 200000，读出噪声标准差 1 电子。</w:t>
      </w:r>
    </w:p>
    <w:p>
      <w:r>
        <w:t>计算量按传播调用次数统一计数，包含 L-BFGS 线搜索中的拒绝试探；记录 80、200 次两个预算点。参数在评分前固定。四方法计算、评分及绘图共 32.62 秒，不含输入生成。</w:t>
      </w:r>
    </w:p>
    <w:p>
      <w:pPr>
        <w:pStyle w:val="Heading2"/>
      </w:pPr>
      <w:r>
        <w:t>阅读与复跑</w:t>
      </w:r>
    </w:p>
    <w:p>
      <w:r>
        <w:t>第3—6页为本次运行的原始恢复图。完整指标、方法卡和复跑说明保存在项目仓库；Word 可用于批注，PDF 用于固定版式阅读。</w:t>
      </w:r>
    </w:p>
    <w:p>
      <w:r>
        <w:t>私有项目仓库（需访问权限）：</w:t>
      </w:r>
      <w:hyperlink r:id="rId11">
        <w:r>
          <w:t>打开链接</w:t>
        </w:r>
      </w:hyperlink>
    </w:p>
    <w:p>
      <w:r>
        <w:t>完整结果包与校验信息：</w:t>
      </w:r>
      <w:hyperlink r:id="rId12">
        <w:r>
          <w:t>打开链接</w:t>
        </w:r>
      </w:hyperlink>
    </w:p>
    <w:p>
      <w:r>
        <w:rPr>
          <w:sz w:val="18"/>
        </w:rPr>
        <w:t>复跑入口：START_CIRCULAR_BENCHMARK.cmd。需要已激活的 MATLAB。本机运行与结果包恢复已验证；全新下载副本的 MATLAB 复跑尚未验证。完整方法卡见 docs/methods/FAST_四类求解器方法卡.docx。</w:t>
      </w:r>
    </w:p>
    <w:p>
      <w:pPr>
        <w:sectPr>
          <w:pgSz w:w="11906" w:h="16838"/>
          <w:pgMar w:top="850" w:right="964" w:bottom="850" w:left="964" w:header="720" w:footer="397" w:gutter="0"/>
          <w:cols w:space="720"/>
          <w:docGrid w:linePitch="360"/>
        </w:sectPr>
      </w:pPr>
    </w:p>
    <w:p>
      <w:pPr>
        <w:pStyle w:val="Heading1"/>
      </w:pPr>
      <w:r>
        <w:t>周期 / 无噪声：200 次传播结果</w:t>
      </w:r>
    </w:p>
    <w:p>
      <w:r>
        <w:t>上排为振幅，下排为参考校正相位。各列依次为仿真真值、初始参考、HIO、ER、RAAR、L-BFGS。</w:t>
      </w:r>
    </w:p>
    <w:p>
      <w:r>
        <w:drawing>
          <wp:inline xmlns:a="http://schemas.openxmlformats.org/drawingml/2006/main" xmlns:pic="http://schemas.openxmlformats.org/drawingml/2006/picture">
            <wp:extent cx="9576000" cy="4189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s_2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4189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图2｜保留 MATLAB 原始图与色标。原图英文标题中的下划线被显示为下标，测量条件以本页中文标题为准。坐标单位：微米；相位单位：rad。</w:t>
      </w:r>
    </w:p>
    <w:p>
      <w:r>
        <w:t>本组 RAAR 复场误差为 0.1182，为四算法最低；初始参考为 0.6555。</w:t>
      </w:r>
    </w:p>
    <w:p>
      <w:pPr>
        <w:sectPr>
          <w:pgSz w:w="16838" w:h="11906" w:orient="landscape"/>
          <w:pgMar w:top="850" w:right="964" w:bottom="850" w:left="964" w:header="720" w:footer="397" w:gutter="0"/>
          <w:cols w:space="720"/>
          <w:docGrid w:linePitch="360"/>
        </w:sectPr>
      </w:pPr>
    </w:p>
    <w:p>
      <w:pPr>
        <w:pStyle w:val="Heading1"/>
      </w:pPr>
      <w:r>
        <w:t>非周期 / 无噪声：200 次传播结果</w:t>
      </w:r>
    </w:p>
    <w:p>
      <w:r>
        <w:t>上排为振幅，下排为参考校正相位。各列依次为仿真真值、初始参考、HIO、ER、RAAR、L-BFGS。</w:t>
      </w:r>
    </w:p>
    <w:p>
      <w:r>
        <w:drawing>
          <wp:inline xmlns:a="http://schemas.openxmlformats.org/drawingml/2006/main" xmlns:pic="http://schemas.openxmlformats.org/drawingml/2006/picture">
            <wp:extent cx="9576000" cy="4189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s_2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4189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图3｜保留 MATLAB 原始图与色标。原图英文标题中的下划线被显示为下标，测量条件以本页中文标题为准。坐标单位：微米；相位单位：rad。</w:t>
      </w:r>
    </w:p>
    <w:p>
      <w:r>
        <w:t>本组 RAAR 复场误差为 0.1027，为四算法最低；初始参考为 0.6739。</w:t>
      </w:r>
    </w:p>
    <w:p>
      <w:pPr>
        <w:sectPr>
          <w:pgSz w:w="16838" w:h="11906" w:orient="landscape"/>
          <w:pgMar w:top="850" w:right="964" w:bottom="850" w:left="964" w:header="720" w:footer="397" w:gutter="0"/>
          <w:cols w:space="720"/>
          <w:docGrid w:linePitch="360"/>
        </w:sectPr>
      </w:pPr>
    </w:p>
    <w:p>
      <w:pPr>
        <w:pStyle w:val="Heading1"/>
      </w:pPr>
      <w:r>
        <w:t>周期 / 含噪声：200 次传播结果</w:t>
      </w:r>
    </w:p>
    <w:p>
      <w:r>
        <w:t>上排为振幅，下排为参考校正相位。各列依次为仿真真值、初始参考、HIO、ER、RAAR、L-BFGS。</w:t>
      </w:r>
    </w:p>
    <w:p>
      <w:r>
        <w:drawing>
          <wp:inline xmlns:a="http://schemas.openxmlformats.org/drawingml/2006/main" xmlns:pic="http://schemas.openxmlformats.org/drawingml/2006/picture">
            <wp:extent cx="9576000" cy="4189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s_2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4189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图4｜保留 MATLAB 原始图与色标。原图英文标题中的下划线被显示为下标，测量条件以本页中文标题为准。坐标单位：微米；相位单位：rad。</w:t>
      </w:r>
    </w:p>
    <w:p>
      <w:r>
        <w:t>本组 ER 复场误差为 0.6313，为四算法最低；其相位误差为 0.4861 rad，高于初始参考的 0.2504 rad。</w:t>
      </w:r>
    </w:p>
    <w:p>
      <w:pPr>
        <w:sectPr>
          <w:pgSz w:w="16838" w:h="11906" w:orient="landscape"/>
          <w:pgMar w:top="850" w:right="964" w:bottom="850" w:left="964" w:header="720" w:footer="397" w:gutter="0"/>
          <w:cols w:space="720"/>
          <w:docGrid w:linePitch="360"/>
        </w:sectPr>
      </w:pPr>
    </w:p>
    <w:p>
      <w:pPr>
        <w:pStyle w:val="Heading1"/>
      </w:pPr>
      <w:r>
        <w:t>非周期 / 含噪声：200 次传播结果</w:t>
      </w:r>
    </w:p>
    <w:p>
      <w:r>
        <w:t>上排为振幅，下排为参考校正相位。各列依次为仿真真值、初始参考、HIO、ER、RAAR、L-BFGS。</w:t>
      </w:r>
    </w:p>
    <w:p>
      <w:r>
        <w:drawing>
          <wp:inline xmlns:a="http://schemas.openxmlformats.org/drawingml/2006/main" xmlns:pic="http://schemas.openxmlformats.org/drawingml/2006/picture">
            <wp:extent cx="9576000" cy="4189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s_2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4189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图5｜保留 MATLAB 原始图与色标。原图英文标题中的下划线被显示为下标，测量条件以本页中文标题为准。坐标单位：微米；相位单位：rad。</w:t>
      </w:r>
    </w:p>
    <w:p>
      <w:r>
        <w:t>本组 ER 复场误差为 0.6231，为四算法最低；其相位误差为 0.4705 rad，高于初始参考的 0.2584 rad。</w:t>
      </w:r>
    </w:p>
    <w:sectPr w:rsidR="00FC693F" w:rsidRPr="0006063C" w:rsidSect="00034616">
      <w:pgSz w:w="16838" w:h="11906" w:orient="landscape"/>
      <w:pgMar w:top="850" w:right="964" w:bottom="850" w:left="96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圆形MCF阶段汇报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github.com/BoVVENGibNieAuf/LSA-FAST-Phase-Retrieval-Benchmark" TargetMode="External"/><Relationship Id="rId12" Type="http://schemas.openxmlformats.org/officeDocument/2006/relationships/hyperlink" Target="https://github.com/BoVVENGibNieAuf/LSA-FAST-Phase-Retrieval-Benchmark/releases/tag/circular-results-2026-10-03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圆形端面多芯光纤四方法比较｜佳伟老师交付版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