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414"/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6924"/>
      </w:tblGrid>
      <w:tr w:rsidR="00746B5A" w:rsidRPr="00107356" w14:paraId="58BE69DE" w14:textId="77777777" w:rsidTr="007E2152">
        <w:trPr>
          <w:trHeight w:val="1408"/>
        </w:trPr>
        <w:tc>
          <w:tcPr>
            <w:tcW w:w="9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A662B" w14:textId="77777777" w:rsidR="00746B5A" w:rsidRPr="00AC6D2D" w:rsidRDefault="00746B5A" w:rsidP="007E2152">
            <w:pPr>
              <w:pStyle w:val="NoSpacing"/>
              <w:rPr>
                <w:rFonts w:asciiTheme="minorHAnsi" w:hAnsiTheme="minorHAnsi" w:cstheme="minorHAnsi"/>
                <w:b/>
                <w:bCs/>
                <w:iCs/>
              </w:rPr>
            </w:pPr>
            <w:r w:rsidRPr="00107356">
              <w:rPr>
                <w:rFonts w:asciiTheme="minorHAnsi" w:hAnsiTheme="minorHAnsi" w:cstheme="minorHAnsi"/>
                <w:b/>
                <w:bCs/>
                <w:sz w:val="28"/>
                <w:szCs w:val="32"/>
              </w:rPr>
              <w:t>Terms of Reference for Propel – Deutsche Bank Innovation</w:t>
            </w:r>
          </w:p>
        </w:tc>
      </w:tr>
      <w:tr w:rsidR="00746B5A" w:rsidRPr="00107356" w14:paraId="103B3A5F" w14:textId="77777777" w:rsidTr="007E2152">
        <w:trPr>
          <w:trHeight w:val="1408"/>
        </w:trPr>
        <w:tc>
          <w:tcPr>
            <w:tcW w:w="2405" w:type="dxa"/>
            <w:tcBorders>
              <w:top w:val="single" w:sz="4" w:space="0" w:color="auto"/>
            </w:tcBorders>
          </w:tcPr>
          <w:p w14:paraId="1BF0595E" w14:textId="77777777" w:rsidR="00746B5A" w:rsidRPr="00107356" w:rsidRDefault="00746B5A" w:rsidP="007E2152">
            <w:pPr>
              <w:pStyle w:val="Heading1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735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Background</w:t>
            </w:r>
          </w:p>
          <w:p w14:paraId="6EA13E51" w14:textId="77777777" w:rsidR="00746B5A" w:rsidRPr="00107356" w:rsidRDefault="00746B5A" w:rsidP="007E2152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924" w:type="dxa"/>
            <w:tcBorders>
              <w:top w:val="single" w:sz="4" w:space="0" w:color="auto"/>
            </w:tcBorders>
          </w:tcPr>
          <w:p w14:paraId="3AE09B18" w14:textId="77777777" w:rsidR="00746B5A" w:rsidRPr="00AC6D2D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 w:rsidRPr="00AC6D2D">
              <w:rPr>
                <w:rFonts w:asciiTheme="minorHAnsi" w:hAnsiTheme="minorHAnsi" w:cstheme="minorHAnsi"/>
                <w:b/>
                <w:bCs/>
                <w:iCs/>
              </w:rPr>
              <w:t>Propel</w:t>
            </w:r>
            <w:r>
              <w:rPr>
                <w:rFonts w:asciiTheme="minorHAnsi" w:hAnsiTheme="minorHAnsi" w:cstheme="minorHAnsi"/>
                <w:iCs/>
              </w:rPr>
              <w:t xml:space="preserve"> is the title of the Deutsche Bank Account Innovation workstream and seeks to</w:t>
            </w:r>
            <w:r w:rsidRPr="00AC6D2D">
              <w:rPr>
                <w:rFonts w:asciiTheme="minorHAnsi" w:hAnsiTheme="minorHAnsi" w:cstheme="minorHAnsi"/>
                <w:iCs/>
              </w:rPr>
              <w:t xml:space="preserve"> support the </w:t>
            </w:r>
            <w:r>
              <w:rPr>
                <w:rFonts w:asciiTheme="minorHAnsi" w:hAnsiTheme="minorHAnsi" w:cstheme="minorHAnsi"/>
                <w:iCs/>
              </w:rPr>
              <w:t xml:space="preserve">Client </w:t>
            </w:r>
            <w:r w:rsidRPr="00AC6D2D">
              <w:rPr>
                <w:rFonts w:asciiTheme="minorHAnsi" w:hAnsiTheme="minorHAnsi" w:cstheme="minorHAnsi"/>
                <w:iCs/>
              </w:rPr>
              <w:t xml:space="preserve">Digital Transformation agenda </w:t>
            </w:r>
          </w:p>
          <w:p w14:paraId="55AAB053" w14:textId="77777777" w:rsidR="00746B5A" w:rsidRPr="00107356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iCs/>
              </w:rPr>
              <w:t>This terms of reference</w:t>
            </w:r>
            <w:proofErr w:type="gramEnd"/>
            <w:r>
              <w:rPr>
                <w:rFonts w:asciiTheme="minorHAnsi" w:hAnsiTheme="minorHAnsi" w:cstheme="minorHAnsi"/>
                <w:iCs/>
              </w:rPr>
              <w:t xml:space="preserve"> is to frame that workstream and provide context and formal governance to enable it </w:t>
            </w:r>
          </w:p>
        </w:tc>
      </w:tr>
      <w:tr w:rsidR="00746B5A" w:rsidRPr="00107356" w14:paraId="19FFB1DC" w14:textId="77777777" w:rsidTr="007E2152">
        <w:trPr>
          <w:trHeight w:val="1555"/>
        </w:trPr>
        <w:tc>
          <w:tcPr>
            <w:tcW w:w="2405" w:type="dxa"/>
          </w:tcPr>
          <w:p w14:paraId="4B3AF64C" w14:textId="77777777" w:rsidR="00746B5A" w:rsidRPr="00107356" w:rsidRDefault="00746B5A" w:rsidP="007E2152">
            <w:pPr>
              <w:pStyle w:val="Heading1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735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Objectives </w:t>
            </w:r>
          </w:p>
          <w:p w14:paraId="3007ACC2" w14:textId="77777777" w:rsidR="00746B5A" w:rsidRPr="00107356" w:rsidRDefault="00746B5A" w:rsidP="007E2152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924" w:type="dxa"/>
          </w:tcPr>
          <w:p w14:paraId="317B5E93" w14:textId="77777777" w:rsidR="00746B5A" w:rsidRPr="006943CF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The aim of Propel is to drive net new business opportun</w:t>
            </w:r>
            <w:r w:rsidRPr="006A273F">
              <w:rPr>
                <w:rFonts w:asciiTheme="minorHAnsi" w:hAnsiTheme="minorHAnsi" w:cstheme="minorHAnsi"/>
                <w:iCs/>
              </w:rPr>
              <w:t xml:space="preserve">ities </w:t>
            </w:r>
            <w:r>
              <w:rPr>
                <w:rFonts w:asciiTheme="minorHAnsi" w:hAnsiTheme="minorHAnsi" w:cstheme="minorHAnsi"/>
                <w:iCs/>
              </w:rPr>
              <w:t>through rapid prototyping, customer validation, commercial desirability and scaling to sales opportunity</w:t>
            </w:r>
          </w:p>
          <w:p w14:paraId="64E80DE8" w14:textId="77777777" w:rsidR="00746B5A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Propel will build a pipeline of experimentation opportunities which will be overseen by the Propel Council</w:t>
            </w:r>
          </w:p>
          <w:p w14:paraId="356A7BB0" w14:textId="77777777" w:rsidR="00746B5A" w:rsidRPr="00AC6D2D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The Propel Council will disburse small amounts of its allocated budget on experiments it believes meets specific criteria to progress (desirability,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doability</w:t>
            </w:r>
            <w:proofErr w:type="spellEnd"/>
            <w:r>
              <w:rPr>
                <w:rFonts w:asciiTheme="minorHAnsi" w:hAnsiTheme="minorHAnsi" w:cstheme="minorHAnsi"/>
                <w:iCs/>
              </w:rPr>
              <w:t>, potential to scale, client propensity to spend, timeline to buy tbc)</w:t>
            </w:r>
          </w:p>
          <w:p w14:paraId="5117D2D2" w14:textId="77777777" w:rsidR="00746B5A" w:rsidRPr="00AC6D2D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It is expected that Propel will rapidly generate a series of technical demonstrators and prototypes that can be showcased with the Client on a regular cadence and their viability and commercial impact tracked and reported </w:t>
            </w:r>
          </w:p>
        </w:tc>
      </w:tr>
      <w:tr w:rsidR="00746B5A" w:rsidRPr="00107356" w14:paraId="47F19AC2" w14:textId="77777777" w:rsidTr="007E2152">
        <w:trPr>
          <w:trHeight w:val="1309"/>
        </w:trPr>
        <w:tc>
          <w:tcPr>
            <w:tcW w:w="2405" w:type="dxa"/>
          </w:tcPr>
          <w:p w14:paraId="01570A29" w14:textId="77777777" w:rsidR="00746B5A" w:rsidRPr="00107356" w:rsidRDefault="00746B5A" w:rsidP="007E2152">
            <w:pPr>
              <w:pStyle w:val="Heading1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735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Issues</w:t>
            </w:r>
          </w:p>
        </w:tc>
        <w:tc>
          <w:tcPr>
            <w:tcW w:w="6924" w:type="dxa"/>
          </w:tcPr>
          <w:p w14:paraId="032D7415" w14:textId="77777777" w:rsidR="00746B5A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Consolidated and transparent ideation and collaboration platform to gather and develop ideas and opportunities for the client and other industry sectors (spreadsheet, Sharepoint, Wazoku, Spark)</w:t>
            </w:r>
          </w:p>
          <w:p w14:paraId="01CAEB0D" w14:textId="77777777" w:rsidR="00746B5A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Connecting development of hypotheses and ideas for experimentation to viable incentivization models that avoid driving negative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behaviours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(qualifying out, excessive specialization)</w:t>
            </w:r>
          </w:p>
          <w:p w14:paraId="60A81125" w14:textId="77777777" w:rsidR="00746B5A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Capacity to support and drive Propel pipeline, run and formally govern council triage meetings, build and elaborate ideas in partnership with submitters</w:t>
            </w:r>
          </w:p>
          <w:p w14:paraId="2AA6AB94" w14:textId="77777777" w:rsidR="00746B5A" w:rsidRPr="00903E53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LIC/DTC capacity to support and develop demonstrators </w:t>
            </w:r>
          </w:p>
          <w:p w14:paraId="57112627" w14:textId="77777777" w:rsidR="00746B5A" w:rsidRPr="00AC6D2D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Disruption of ongoing client innovation activity and links back into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organisation</w:t>
            </w:r>
            <w:proofErr w:type="spellEnd"/>
          </w:p>
        </w:tc>
      </w:tr>
      <w:tr w:rsidR="00746B5A" w:rsidRPr="00107356" w14:paraId="4A68C152" w14:textId="77777777" w:rsidTr="007E2152">
        <w:trPr>
          <w:trHeight w:val="1827"/>
        </w:trPr>
        <w:tc>
          <w:tcPr>
            <w:tcW w:w="2405" w:type="dxa"/>
          </w:tcPr>
          <w:p w14:paraId="1ACAD03B" w14:textId="77777777" w:rsidR="00746B5A" w:rsidRPr="00107356" w:rsidRDefault="00746B5A" w:rsidP="007E2152">
            <w:pPr>
              <w:pStyle w:val="Heading1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735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Methodology</w:t>
            </w:r>
          </w:p>
        </w:tc>
        <w:tc>
          <w:tcPr>
            <w:tcW w:w="6924" w:type="dxa"/>
          </w:tcPr>
          <w:p w14:paraId="71A33368" w14:textId="77777777" w:rsidR="00746B5A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Further, ongoing communication on why the Propel workstream is important and how it fits into the Client account</w:t>
            </w:r>
          </w:p>
          <w:p w14:paraId="1CF82407" w14:textId="77777777" w:rsidR="00746B5A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Develop an MVP approach to ideation platform (select best/lightest of existing solutions)</w:t>
            </w:r>
          </w:p>
          <w:p w14:paraId="768AF522" w14:textId="77777777" w:rsidR="00746B5A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Build a pipeline of ideas and experiments to evaluate, validate and execute upon, triaged under formal governance by Propel Council</w:t>
            </w:r>
          </w:p>
          <w:p w14:paraId="4BEB1C53" w14:textId="77777777" w:rsidR="00746B5A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Showcase with Client (and other sectors) and develop customer interaction/traction in order to move towards sales motion</w:t>
            </w:r>
          </w:p>
          <w:p w14:paraId="15AA897A" w14:textId="77777777" w:rsidR="00746B5A" w:rsidRPr="000557DD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Close the loop back to respective offering family to ensure feedback mechanism</w:t>
            </w:r>
          </w:p>
        </w:tc>
      </w:tr>
      <w:tr w:rsidR="00746B5A" w:rsidRPr="00107356" w14:paraId="12874724" w14:textId="77777777" w:rsidTr="007E2152">
        <w:trPr>
          <w:trHeight w:val="2087"/>
        </w:trPr>
        <w:tc>
          <w:tcPr>
            <w:tcW w:w="2405" w:type="dxa"/>
          </w:tcPr>
          <w:p w14:paraId="708B6E47" w14:textId="24EB3644" w:rsidR="00746B5A" w:rsidRPr="00912831" w:rsidRDefault="00746B5A" w:rsidP="007E2152">
            <w:pPr>
              <w:pStyle w:val="Heading1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735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Expertise</w:t>
            </w:r>
          </w:p>
        </w:tc>
        <w:tc>
          <w:tcPr>
            <w:tcW w:w="6924" w:type="dxa"/>
          </w:tcPr>
          <w:p w14:paraId="30129101" w14:textId="77777777" w:rsidR="00746B5A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LIC/DTC technical SME</w:t>
            </w:r>
          </w:p>
          <w:p w14:paraId="5351ACE7" w14:textId="77777777" w:rsidR="00746B5A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Propel workstream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programme</w:t>
            </w:r>
            <w:proofErr w:type="spellEnd"/>
            <w:r>
              <w:rPr>
                <w:rFonts w:asciiTheme="minorHAnsi" w:hAnsiTheme="minorHAnsi" w:cstheme="minorHAnsi"/>
                <w:iCs/>
              </w:rPr>
              <w:t xml:space="preserve"> lead</w:t>
            </w:r>
          </w:p>
          <w:p w14:paraId="7F62F614" w14:textId="77777777" w:rsidR="00746B5A" w:rsidRPr="00AC6D2D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Account Innovation champion (SHB)</w:t>
            </w:r>
          </w:p>
        </w:tc>
      </w:tr>
      <w:tr w:rsidR="00746B5A" w:rsidRPr="00107356" w14:paraId="3D37B9B3" w14:textId="77777777" w:rsidTr="00E45A56">
        <w:trPr>
          <w:trHeight w:val="1012"/>
        </w:trPr>
        <w:tc>
          <w:tcPr>
            <w:tcW w:w="2405" w:type="dxa"/>
          </w:tcPr>
          <w:p w14:paraId="6AC0FCE1" w14:textId="77777777" w:rsidR="00746B5A" w:rsidRPr="00107356" w:rsidRDefault="00746B5A" w:rsidP="007E2152">
            <w:pPr>
              <w:pStyle w:val="Heading1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735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Reporting</w:t>
            </w:r>
          </w:p>
          <w:p w14:paraId="08B2248D" w14:textId="77777777" w:rsidR="00746B5A" w:rsidRPr="00107356" w:rsidRDefault="00746B5A" w:rsidP="007E2152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6924" w:type="dxa"/>
          </w:tcPr>
          <w:p w14:paraId="2E8481E9" w14:textId="5CD9BA86" w:rsidR="00746B5A" w:rsidRPr="00AC6D2D" w:rsidRDefault="00912831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Requests for new submissions for consideration</w:t>
            </w:r>
          </w:p>
          <w:p w14:paraId="52C306B5" w14:textId="77777777" w:rsidR="00E45A56" w:rsidRPr="00AC6D2D" w:rsidRDefault="00E45A56" w:rsidP="00E45A56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Experiment pipeline and status of work inflight</w:t>
            </w:r>
          </w:p>
          <w:p w14:paraId="4A5F1865" w14:textId="5C68C0E9" w:rsidR="00746B5A" w:rsidRPr="00E45A56" w:rsidRDefault="00E45A56" w:rsidP="00E45A56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Completed pipeline and progress to scaling and Client/Sector leverage</w:t>
            </w:r>
            <w:bookmarkStart w:id="0" w:name="_GoBack"/>
            <w:bookmarkEnd w:id="0"/>
          </w:p>
        </w:tc>
      </w:tr>
      <w:tr w:rsidR="00746B5A" w:rsidRPr="00107356" w14:paraId="4031F42F" w14:textId="77777777" w:rsidTr="007E2152">
        <w:trPr>
          <w:trHeight w:val="1296"/>
        </w:trPr>
        <w:tc>
          <w:tcPr>
            <w:tcW w:w="2405" w:type="dxa"/>
          </w:tcPr>
          <w:p w14:paraId="1DDBEE28" w14:textId="77777777" w:rsidR="00746B5A" w:rsidRPr="00107356" w:rsidRDefault="00746B5A" w:rsidP="007E2152">
            <w:pPr>
              <w:pStyle w:val="Heading1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0735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Work plan</w:t>
            </w:r>
          </w:p>
        </w:tc>
        <w:tc>
          <w:tcPr>
            <w:tcW w:w="6924" w:type="dxa"/>
          </w:tcPr>
          <w:p w14:paraId="194C3E1D" w14:textId="77777777" w:rsidR="00746B5A" w:rsidRPr="00AC6D2D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 w:rsidRPr="00AC6D2D">
              <w:rPr>
                <w:rFonts w:asciiTheme="minorHAnsi" w:hAnsiTheme="minorHAnsi" w:cstheme="minorHAnsi"/>
                <w:iCs/>
              </w:rPr>
              <w:t>Provide a summary of the anticipated work</w:t>
            </w:r>
          </w:p>
          <w:p w14:paraId="1CF7A040" w14:textId="77777777" w:rsidR="00746B5A" w:rsidRPr="00AC6D2D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 w:rsidRPr="00AC6D2D">
              <w:rPr>
                <w:rFonts w:asciiTheme="minorHAnsi" w:hAnsiTheme="minorHAnsi" w:cstheme="minorHAnsi"/>
                <w:iCs/>
              </w:rPr>
              <w:t>Describe the activities and necessary resources required for achieving the project’s results and purpose</w:t>
            </w:r>
          </w:p>
          <w:p w14:paraId="62CB7630" w14:textId="77777777" w:rsidR="00746B5A" w:rsidRPr="00AC6D2D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 w:rsidRPr="00AC6D2D">
              <w:rPr>
                <w:rFonts w:asciiTheme="minorHAnsi" w:hAnsiTheme="minorHAnsi" w:cstheme="minorHAnsi"/>
                <w:iCs/>
              </w:rPr>
              <w:t>Provide the activity schedule template</w:t>
            </w:r>
          </w:p>
          <w:p w14:paraId="3281FF75" w14:textId="77777777" w:rsidR="00746B5A" w:rsidRPr="00AC6D2D" w:rsidRDefault="00746B5A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 w:rsidRPr="00AC6D2D">
              <w:rPr>
                <w:rFonts w:asciiTheme="minorHAnsi" w:hAnsiTheme="minorHAnsi" w:cstheme="minorHAnsi"/>
                <w:iCs/>
              </w:rPr>
              <w:t>Describe The finance resources allocated to the project</w:t>
            </w:r>
          </w:p>
        </w:tc>
      </w:tr>
      <w:tr w:rsidR="00912831" w:rsidRPr="00107356" w14:paraId="241B8840" w14:textId="77777777" w:rsidTr="007E2152">
        <w:trPr>
          <w:trHeight w:val="1296"/>
        </w:trPr>
        <w:tc>
          <w:tcPr>
            <w:tcW w:w="2405" w:type="dxa"/>
          </w:tcPr>
          <w:p w14:paraId="68E9DE1C" w14:textId="75D08755" w:rsidR="00912831" w:rsidRPr="00107356" w:rsidRDefault="00912831" w:rsidP="007E2152">
            <w:pPr>
              <w:pStyle w:val="Heading1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Propel Council Membership</w:t>
            </w:r>
          </w:p>
        </w:tc>
        <w:tc>
          <w:tcPr>
            <w:tcW w:w="6924" w:type="dxa"/>
          </w:tcPr>
          <w:p w14:paraId="0850F198" w14:textId="77777777" w:rsidR="00912831" w:rsidRDefault="00912831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Gordon Hoff</w:t>
            </w:r>
          </w:p>
          <w:p w14:paraId="360B938F" w14:textId="77777777" w:rsidR="00912831" w:rsidRDefault="00912831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David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Rimmer</w:t>
            </w:r>
            <w:proofErr w:type="spellEnd"/>
          </w:p>
          <w:p w14:paraId="189F7000" w14:textId="77777777" w:rsidR="00912831" w:rsidRDefault="00912831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David Oldham</w:t>
            </w:r>
          </w:p>
          <w:p w14:paraId="6BAA56CE" w14:textId="105FCCF0" w:rsidR="00912831" w:rsidRDefault="00912831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Scott Brown</w:t>
            </w:r>
          </w:p>
          <w:p w14:paraId="4645CCA8" w14:textId="32990E15" w:rsidR="00912831" w:rsidRDefault="00912831" w:rsidP="007E2152">
            <w:pPr>
              <w:pStyle w:val="NoSpacing"/>
              <w:numPr>
                <w:ilvl w:val="0"/>
                <w:numId w:val="9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Lee </w:t>
            </w:r>
            <w:proofErr w:type="spellStart"/>
            <w:r>
              <w:rPr>
                <w:rFonts w:asciiTheme="minorHAnsi" w:hAnsiTheme="minorHAnsi" w:cstheme="minorHAnsi"/>
                <w:iCs/>
              </w:rPr>
              <w:t>Tobutt</w:t>
            </w:r>
            <w:proofErr w:type="spellEnd"/>
          </w:p>
          <w:p w14:paraId="6D7706DD" w14:textId="77777777" w:rsidR="00912831" w:rsidRDefault="00912831" w:rsidP="00912831">
            <w:pPr>
              <w:pStyle w:val="NoSpacing"/>
              <w:rPr>
                <w:rFonts w:asciiTheme="minorHAnsi" w:hAnsiTheme="minorHAnsi" w:cstheme="minorHAnsi"/>
                <w:iCs/>
              </w:rPr>
            </w:pPr>
          </w:p>
          <w:p w14:paraId="6EFABC6D" w14:textId="068E1C8A" w:rsidR="00912831" w:rsidRPr="00AC6D2D" w:rsidRDefault="00912831" w:rsidP="00912831">
            <w:pPr>
              <w:pStyle w:val="NoSpacing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Bi-weekly meeting cadence to be confirmed based on demand. Can be instituted on an extraordinary basis but any request should be no more than 10 days from a formal sitting. Quorate with any 4 of the above attendees</w:t>
            </w:r>
          </w:p>
        </w:tc>
      </w:tr>
    </w:tbl>
    <w:p w14:paraId="57719041" w14:textId="77777777" w:rsidR="00746B5A" w:rsidRDefault="00746B5A" w:rsidP="00746B5A">
      <w:pPr>
        <w:rPr>
          <w:rFonts w:asciiTheme="minorHAnsi" w:hAnsiTheme="minorHAnsi" w:cstheme="minorHAnsi"/>
        </w:rPr>
      </w:pPr>
    </w:p>
    <w:p w14:paraId="3AB7FE02" w14:textId="77777777" w:rsidR="00746B5A" w:rsidRPr="00107356" w:rsidRDefault="00746B5A" w:rsidP="00746B5A">
      <w:pPr>
        <w:rPr>
          <w:rFonts w:asciiTheme="minorHAnsi" w:hAnsiTheme="minorHAnsi" w:cstheme="minorHAnsi"/>
        </w:rPr>
      </w:pPr>
    </w:p>
    <w:p w14:paraId="589509D5" w14:textId="5F2B329B" w:rsidR="00746B5A" w:rsidRDefault="00746B5A"/>
    <w:p w14:paraId="3DBAA0D0" w14:textId="77777777" w:rsidR="00746B5A" w:rsidRPr="00107356" w:rsidRDefault="00746B5A">
      <w:pPr>
        <w:rPr>
          <w:rFonts w:asciiTheme="minorHAnsi" w:hAnsiTheme="minorHAnsi" w:cstheme="minorHAnsi"/>
        </w:rPr>
      </w:pPr>
    </w:p>
    <w:sectPr w:rsidR="00746B5A" w:rsidRPr="00107356" w:rsidSect="00226E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0EB7"/>
    <w:multiLevelType w:val="hybridMultilevel"/>
    <w:tmpl w:val="585A07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020D"/>
    <w:multiLevelType w:val="hybridMultilevel"/>
    <w:tmpl w:val="CB169C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04D7E"/>
    <w:multiLevelType w:val="hybridMultilevel"/>
    <w:tmpl w:val="57A24CFC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8E1E2A"/>
    <w:multiLevelType w:val="hybridMultilevel"/>
    <w:tmpl w:val="B70E0412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BFF75CA"/>
    <w:multiLevelType w:val="hybridMultilevel"/>
    <w:tmpl w:val="46FCC480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04432F1"/>
    <w:multiLevelType w:val="hybridMultilevel"/>
    <w:tmpl w:val="1284C678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AF3292"/>
    <w:multiLevelType w:val="hybridMultilevel"/>
    <w:tmpl w:val="8B6E5F7A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2F65B84"/>
    <w:multiLevelType w:val="hybridMultilevel"/>
    <w:tmpl w:val="38B62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15968"/>
    <w:multiLevelType w:val="hybridMultilevel"/>
    <w:tmpl w:val="54A84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56"/>
    <w:rsid w:val="00020AD6"/>
    <w:rsid w:val="000557DD"/>
    <w:rsid w:val="000F798A"/>
    <w:rsid w:val="00107356"/>
    <w:rsid w:val="00226EC8"/>
    <w:rsid w:val="002963AF"/>
    <w:rsid w:val="004B3855"/>
    <w:rsid w:val="0051710F"/>
    <w:rsid w:val="006943CF"/>
    <w:rsid w:val="006A273F"/>
    <w:rsid w:val="00746B5A"/>
    <w:rsid w:val="007B49DA"/>
    <w:rsid w:val="00903E53"/>
    <w:rsid w:val="00912831"/>
    <w:rsid w:val="00AC6D2D"/>
    <w:rsid w:val="00B7504B"/>
    <w:rsid w:val="00E45A56"/>
    <w:rsid w:val="00ED6234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6D2C"/>
  <w15:chartTrackingRefBased/>
  <w15:docId w15:val="{4E1EC9B5-5E7A-3B42-9611-D9D8517B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356"/>
    <w:pPr>
      <w:spacing w:after="200" w:line="276" w:lineRule="auto"/>
    </w:pPr>
    <w:rPr>
      <w:rFonts w:ascii="Times New Roman" w:eastAsia="Calibri" w:hAnsi="Times New Roman" w:cs="Times New Roman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35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356"/>
    <w:rPr>
      <w:rFonts w:ascii="Cambria" w:eastAsia="MS Gothic" w:hAnsi="Cambria" w:cs="Times New Roman"/>
      <w:b/>
      <w:bCs/>
      <w:kern w:val="32"/>
      <w:sz w:val="32"/>
      <w:szCs w:val="32"/>
      <w:lang w:val="ru-RU"/>
    </w:rPr>
  </w:style>
  <w:style w:type="paragraph" w:styleId="NoSpacing">
    <w:name w:val="No Spacing"/>
    <w:uiPriority w:val="1"/>
    <w:qFormat/>
    <w:rsid w:val="00107356"/>
    <w:rPr>
      <w:rFonts w:ascii="Times New Roman" w:eastAsia="Calibri" w:hAnsi="Times New Roman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Scott</dc:creator>
  <cp:keywords/>
  <dc:description/>
  <cp:lastModifiedBy>Brown, Scott</cp:lastModifiedBy>
  <cp:revision>4</cp:revision>
  <dcterms:created xsi:type="dcterms:W3CDTF">2019-08-07T09:58:00Z</dcterms:created>
  <dcterms:modified xsi:type="dcterms:W3CDTF">2019-08-15T13:41:00Z</dcterms:modified>
</cp:coreProperties>
</file>