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b/>
          <w:sz w:val="20"/>
          <w:szCs w:val="20"/>
        </w:rPr>
        <w:t>Вопрос:</w:t>
      </w:r>
      <w:r w:rsidRPr="002A732E">
        <w:rPr>
          <w:rFonts w:ascii="Times New Roman" w:hAnsi="Times New Roman" w:cs="Times New Roman"/>
          <w:sz w:val="20"/>
          <w:szCs w:val="20"/>
        </w:rPr>
        <w:t xml:space="preserve"> Как исчисляется транспортный налог при регистрации (снятии с регистрации) автомобиля в течение года?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2A732E">
        <w:rPr>
          <w:rFonts w:ascii="Times New Roman" w:hAnsi="Times New Roman" w:cs="Times New Roman"/>
          <w:b/>
          <w:sz w:val="20"/>
          <w:szCs w:val="20"/>
        </w:rPr>
        <w:t>Ответ:</w:t>
      </w:r>
      <w:r w:rsidRPr="002A732E">
        <w:rPr>
          <w:rFonts w:ascii="Times New Roman" w:hAnsi="Times New Roman" w:cs="Times New Roman"/>
          <w:sz w:val="20"/>
          <w:szCs w:val="20"/>
        </w:rPr>
        <w:t xml:space="preserve"> В соответствии с нормами </w:t>
      </w:r>
      <w:hyperlink r:id="rId5" w:history="1">
        <w:r w:rsidRPr="002A732E">
          <w:rPr>
            <w:rFonts w:ascii="Times New Roman" w:hAnsi="Times New Roman" w:cs="Times New Roman"/>
            <w:sz w:val="20"/>
            <w:szCs w:val="20"/>
          </w:rPr>
          <w:t>п. п. 1</w:t>
        </w:r>
      </w:hyperlink>
      <w:r w:rsidRPr="002A732E">
        <w:rPr>
          <w:rFonts w:ascii="Times New Roman" w:hAnsi="Times New Roman" w:cs="Times New Roman"/>
          <w:sz w:val="20"/>
          <w:szCs w:val="20"/>
        </w:rPr>
        <w:t xml:space="preserve">, </w:t>
      </w:r>
      <w:hyperlink r:id="rId6" w:history="1">
        <w:r w:rsidRPr="002A732E">
          <w:rPr>
            <w:rFonts w:ascii="Times New Roman" w:hAnsi="Times New Roman" w:cs="Times New Roman"/>
            <w:sz w:val="20"/>
            <w:szCs w:val="20"/>
          </w:rPr>
          <w:t>2</w:t>
        </w:r>
      </w:hyperlink>
      <w:r w:rsidRPr="002A732E">
        <w:rPr>
          <w:rFonts w:ascii="Times New Roman" w:hAnsi="Times New Roman" w:cs="Times New Roman"/>
          <w:sz w:val="20"/>
          <w:szCs w:val="20"/>
        </w:rPr>
        <w:t xml:space="preserve"> и </w:t>
      </w:r>
      <w:hyperlink r:id="rId7" w:history="1">
        <w:r w:rsidRPr="002A732E">
          <w:rPr>
            <w:rFonts w:ascii="Times New Roman" w:hAnsi="Times New Roman" w:cs="Times New Roman"/>
            <w:sz w:val="20"/>
            <w:szCs w:val="20"/>
          </w:rPr>
          <w:t>3 ст. 362</w:t>
        </w:r>
      </w:hyperlink>
      <w:r w:rsidRPr="002A732E">
        <w:rPr>
          <w:rFonts w:ascii="Times New Roman" w:hAnsi="Times New Roman" w:cs="Times New Roman"/>
          <w:sz w:val="20"/>
          <w:szCs w:val="20"/>
        </w:rPr>
        <w:t xml:space="preserve"> Налогового кодекса Российской Федерации (далее - НК РФ):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sz w:val="20"/>
          <w:szCs w:val="20"/>
        </w:rPr>
        <w:t>- сумма налога, подлежащая уплате налогоплательщиками, являющимися физическими лицами, исчисляется налоговыми органами на основании сведений, которые представляются им органами, осуществляющими государственную регистрацию транспортных средств (далее - ТС) на территории РФ;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sz w:val="20"/>
          <w:szCs w:val="20"/>
        </w:rPr>
        <w:t>- сумма налога, подлежащая уплате в бюджет по итогам налогового периода (календарный год), исчисляется в отношении каждого ТС как произведение соответствующей налоговой базы и налоговой ставки;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sz w:val="20"/>
          <w:szCs w:val="20"/>
        </w:rPr>
        <w:t>- в случае регистрации ТС и (или) снятия ТС с регистрации в течение налогового периода исчисление суммы налога производится с учетом коэффициента, определяемого как отношение числа полных месяцев, в течение которых данное ТС было зарегистрировано на налогоплательщика, к числу календарных месяцев в налоговом (отчетном) периоде.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sz w:val="20"/>
          <w:szCs w:val="20"/>
        </w:rPr>
        <w:t xml:space="preserve">При этом месяц регистрации ТС, а также месяц снятия ТС с регистрации принимается </w:t>
      </w:r>
      <w:proofErr w:type="gramStart"/>
      <w:r w:rsidRPr="002A732E">
        <w:rPr>
          <w:rFonts w:ascii="Times New Roman" w:hAnsi="Times New Roman" w:cs="Times New Roman"/>
          <w:sz w:val="20"/>
          <w:szCs w:val="20"/>
        </w:rPr>
        <w:t>за полный месяц</w:t>
      </w:r>
      <w:proofErr w:type="gramEnd"/>
      <w:r w:rsidRPr="002A732E">
        <w:rPr>
          <w:rFonts w:ascii="Times New Roman" w:hAnsi="Times New Roman" w:cs="Times New Roman"/>
          <w:sz w:val="20"/>
          <w:szCs w:val="20"/>
        </w:rPr>
        <w:t xml:space="preserve">. В случае регистрации и снятия с регистрации ТС в течение одного календарного месяца указанный месяц принимается как </w:t>
      </w:r>
      <w:proofErr w:type="gramStart"/>
      <w:r w:rsidRPr="002A732E">
        <w:rPr>
          <w:rFonts w:ascii="Times New Roman" w:hAnsi="Times New Roman" w:cs="Times New Roman"/>
          <w:sz w:val="20"/>
          <w:szCs w:val="20"/>
        </w:rPr>
        <w:t>один полный месяц</w:t>
      </w:r>
      <w:proofErr w:type="gramEnd"/>
      <w:r w:rsidRPr="002A732E">
        <w:rPr>
          <w:rFonts w:ascii="Times New Roman" w:hAnsi="Times New Roman" w:cs="Times New Roman"/>
          <w:sz w:val="20"/>
          <w:szCs w:val="20"/>
        </w:rPr>
        <w:t>.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sz w:val="20"/>
          <w:szCs w:val="20"/>
        </w:rPr>
        <w:t xml:space="preserve">Рассмотрим приведенные нормы </w:t>
      </w:r>
      <w:hyperlink r:id="rId8" w:history="1">
        <w:r w:rsidRPr="002A732E">
          <w:rPr>
            <w:rFonts w:ascii="Times New Roman" w:hAnsi="Times New Roman" w:cs="Times New Roman"/>
            <w:sz w:val="20"/>
            <w:szCs w:val="20"/>
          </w:rPr>
          <w:t>ст. 362</w:t>
        </w:r>
      </w:hyperlink>
      <w:r w:rsidRPr="002A732E">
        <w:rPr>
          <w:rFonts w:ascii="Times New Roman" w:hAnsi="Times New Roman" w:cs="Times New Roman"/>
          <w:sz w:val="20"/>
          <w:szCs w:val="20"/>
        </w:rPr>
        <w:t xml:space="preserve"> НК РФ на примере расчета налога за 2011 г. гр-ну </w:t>
      </w:r>
      <w:r w:rsidRPr="0055570E">
        <w:rPr>
          <w:rFonts w:ascii="Times New Roman" w:hAnsi="Times New Roman" w:cs="Times New Roman"/>
          <w:sz w:val="20"/>
          <w:szCs w:val="20"/>
        </w:rPr>
        <w:t>Иванову И.И</w:t>
      </w:r>
      <w:r w:rsidRPr="002A732E">
        <w:rPr>
          <w:rFonts w:ascii="Times New Roman" w:hAnsi="Times New Roman" w:cs="Times New Roman"/>
          <w:sz w:val="20"/>
          <w:szCs w:val="20"/>
        </w:rPr>
        <w:t>., на которого по сведениям, централизованно полученным из Управления ГИБДД ГУ МВД России по г. Москве, допустим, зарегистрированы следующие ТС: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Spacing w:w="5" w:type="nil"/>
        <w:tblInd w:w="75" w:type="dxa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302"/>
        <w:gridCol w:w="1544"/>
        <w:gridCol w:w="2210"/>
        <w:gridCol w:w="1534"/>
        <w:gridCol w:w="1420"/>
        <w:gridCol w:w="1420"/>
      </w:tblGrid>
      <w:tr w:rsidR="006A1A78" w:rsidRPr="002A732E" w:rsidTr="00DE4A01">
        <w:trPr>
          <w:trHeight w:val="600"/>
          <w:tblCellSpacing w:w="5" w:type="nil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Вид ТС </w:t>
            </w:r>
            <w:r w:rsidRPr="002A732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(в рег. </w:t>
            </w:r>
            <w:r w:rsidRPr="002A732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органе)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Марка ТС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  Модель ТС 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Мощность </w:t>
            </w:r>
            <w:r w:rsidRPr="002A732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двигателя </w:t>
            </w:r>
            <w:r w:rsidRPr="002A732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в </w:t>
            </w:r>
            <w:proofErr w:type="spellStart"/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л.</w:t>
            </w:r>
            <w:proofErr w:type="gramStart"/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spellEnd"/>
            <w:proofErr w:type="gramEnd"/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 Дата   </w:t>
            </w:r>
            <w:r w:rsidRPr="002A732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начала  </w:t>
            </w:r>
            <w:r w:rsidRPr="002A732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владения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 Дата   </w:t>
            </w:r>
            <w:r w:rsidRPr="002A732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окончания</w:t>
            </w:r>
            <w:r w:rsidRPr="002A732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владения </w:t>
            </w:r>
          </w:p>
        </w:tc>
      </w:tr>
      <w:tr w:rsidR="006A1A78" w:rsidRPr="002A732E" w:rsidTr="00DE4A01">
        <w:trPr>
          <w:tblCellSpacing w:w="5" w:type="nil"/>
        </w:trPr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Легковой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Мицубиси </w:t>
            </w:r>
          </w:p>
        </w:tc>
        <w:tc>
          <w:tcPr>
            <w:tcW w:w="2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Montero</w:t>
            </w:r>
            <w:proofErr w:type="spellEnd"/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Sport</w:t>
            </w:r>
            <w:proofErr w:type="spellEnd"/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  177   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03.10.2007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18.02.2011</w:t>
            </w:r>
          </w:p>
        </w:tc>
      </w:tr>
      <w:tr w:rsidR="006A1A78" w:rsidRPr="002A732E" w:rsidTr="00DE4A01">
        <w:trPr>
          <w:tblCellSpacing w:w="5" w:type="nil"/>
        </w:trPr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Легковой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Мицубиси </w:t>
            </w:r>
          </w:p>
        </w:tc>
        <w:tc>
          <w:tcPr>
            <w:tcW w:w="2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Паджеро</w:t>
            </w:r>
            <w:proofErr w:type="spellEnd"/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  180   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15.02.2011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28.02.2011</w:t>
            </w:r>
          </w:p>
        </w:tc>
      </w:tr>
      <w:tr w:rsidR="006A1A78" w:rsidRPr="002A732E" w:rsidTr="00DE4A01">
        <w:trPr>
          <w:tblCellSpacing w:w="5" w:type="nil"/>
        </w:trPr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Легковой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 Мазда   </w:t>
            </w:r>
          </w:p>
        </w:tc>
        <w:tc>
          <w:tcPr>
            <w:tcW w:w="2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      3       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  105   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31.03.2011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01.04.2011</w:t>
            </w:r>
          </w:p>
        </w:tc>
      </w:tr>
      <w:tr w:rsidR="006A1A78" w:rsidRPr="002A732E" w:rsidTr="00DE4A01">
        <w:trPr>
          <w:tblCellSpacing w:w="5" w:type="nil"/>
        </w:trPr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Легковой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Фольксваген</w:t>
            </w:r>
          </w:p>
        </w:tc>
        <w:tc>
          <w:tcPr>
            <w:tcW w:w="2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Пассат Вариант CL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 xml:space="preserve">     90   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2E">
              <w:rPr>
                <w:rFonts w:ascii="Times New Roman" w:hAnsi="Times New Roman" w:cs="Times New Roman"/>
                <w:sz w:val="20"/>
                <w:szCs w:val="20"/>
              </w:rPr>
              <w:t>29.03.2011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78" w:rsidRPr="002A732E" w:rsidRDefault="006A1A78" w:rsidP="006A1A78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5570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sz w:val="20"/>
          <w:szCs w:val="20"/>
        </w:rPr>
        <w:t>Расчет транспортного налога за 2011 г. производился налоговой инспекцией в 2012 г. с применением действующих на территории г. Москвы налоговых ставок, установленных ст. 2 Закона г. Москвы от 09.07.2008 N 3</w:t>
      </w:r>
      <w:r w:rsidRPr="0055570E">
        <w:rPr>
          <w:rFonts w:ascii="Times New Roman" w:hAnsi="Times New Roman" w:cs="Times New Roman"/>
          <w:sz w:val="20"/>
          <w:szCs w:val="20"/>
        </w:rPr>
        <w:t>3</w:t>
      </w:r>
      <w:r w:rsidRPr="002A732E">
        <w:rPr>
          <w:rFonts w:ascii="Times New Roman" w:hAnsi="Times New Roman" w:cs="Times New Roman"/>
          <w:sz w:val="20"/>
          <w:szCs w:val="20"/>
        </w:rPr>
        <w:t xml:space="preserve"> "О транспортном налоге".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sz w:val="20"/>
          <w:szCs w:val="20"/>
        </w:rPr>
        <w:t>Общая сумма транспортного налога за 2011 г. составила 2458 руб. (1328 руб. + 675 руб. + 350 руб. + 105 руб.), где: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sz w:val="20"/>
          <w:szCs w:val="20"/>
        </w:rPr>
        <w:t xml:space="preserve">- 1328 руб. (177 </w:t>
      </w:r>
      <w:proofErr w:type="spellStart"/>
      <w:r w:rsidRPr="002A732E">
        <w:rPr>
          <w:rFonts w:ascii="Times New Roman" w:hAnsi="Times New Roman" w:cs="Times New Roman"/>
          <w:sz w:val="20"/>
          <w:szCs w:val="20"/>
        </w:rPr>
        <w:t>л.с</w:t>
      </w:r>
      <w:proofErr w:type="spellEnd"/>
      <w:r w:rsidRPr="002A732E">
        <w:rPr>
          <w:rFonts w:ascii="Times New Roman" w:hAnsi="Times New Roman" w:cs="Times New Roman"/>
          <w:sz w:val="20"/>
          <w:szCs w:val="20"/>
        </w:rPr>
        <w:t xml:space="preserve">. x 45 руб. с 1 </w:t>
      </w:r>
      <w:proofErr w:type="spellStart"/>
      <w:r w:rsidRPr="002A732E">
        <w:rPr>
          <w:rFonts w:ascii="Times New Roman" w:hAnsi="Times New Roman" w:cs="Times New Roman"/>
          <w:sz w:val="20"/>
          <w:szCs w:val="20"/>
        </w:rPr>
        <w:t>л.с</w:t>
      </w:r>
      <w:proofErr w:type="spellEnd"/>
      <w:r w:rsidRPr="002A732E">
        <w:rPr>
          <w:rFonts w:ascii="Times New Roman" w:hAnsi="Times New Roman" w:cs="Times New Roman"/>
          <w:sz w:val="20"/>
          <w:szCs w:val="20"/>
        </w:rPr>
        <w:t xml:space="preserve">. x 2 мес. / 12 мес.) - налог по автомобилю марки Мицубиси </w:t>
      </w:r>
      <w:proofErr w:type="spellStart"/>
      <w:r w:rsidRPr="002A732E">
        <w:rPr>
          <w:rFonts w:ascii="Times New Roman" w:hAnsi="Times New Roman" w:cs="Times New Roman"/>
          <w:sz w:val="20"/>
          <w:szCs w:val="20"/>
        </w:rPr>
        <w:t>Montero</w:t>
      </w:r>
      <w:proofErr w:type="spellEnd"/>
      <w:r w:rsidRPr="002A73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732E">
        <w:rPr>
          <w:rFonts w:ascii="Times New Roman" w:hAnsi="Times New Roman" w:cs="Times New Roman"/>
          <w:sz w:val="20"/>
          <w:szCs w:val="20"/>
        </w:rPr>
        <w:t>Sport</w:t>
      </w:r>
      <w:proofErr w:type="spellEnd"/>
      <w:r w:rsidRPr="002A732E">
        <w:rPr>
          <w:rFonts w:ascii="Times New Roman" w:hAnsi="Times New Roman" w:cs="Times New Roman"/>
          <w:sz w:val="20"/>
          <w:szCs w:val="20"/>
        </w:rPr>
        <w:t>;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sz w:val="20"/>
          <w:szCs w:val="20"/>
        </w:rPr>
        <w:t xml:space="preserve">- 675 руб. (180 </w:t>
      </w:r>
      <w:proofErr w:type="spellStart"/>
      <w:r w:rsidRPr="002A732E">
        <w:rPr>
          <w:rFonts w:ascii="Times New Roman" w:hAnsi="Times New Roman" w:cs="Times New Roman"/>
          <w:sz w:val="20"/>
          <w:szCs w:val="20"/>
        </w:rPr>
        <w:t>л.с</w:t>
      </w:r>
      <w:proofErr w:type="spellEnd"/>
      <w:r w:rsidRPr="002A732E">
        <w:rPr>
          <w:rFonts w:ascii="Times New Roman" w:hAnsi="Times New Roman" w:cs="Times New Roman"/>
          <w:sz w:val="20"/>
          <w:szCs w:val="20"/>
        </w:rPr>
        <w:t xml:space="preserve">. x 45 руб. с 1 </w:t>
      </w:r>
      <w:proofErr w:type="spellStart"/>
      <w:r w:rsidRPr="002A732E">
        <w:rPr>
          <w:rFonts w:ascii="Times New Roman" w:hAnsi="Times New Roman" w:cs="Times New Roman"/>
          <w:sz w:val="20"/>
          <w:szCs w:val="20"/>
        </w:rPr>
        <w:t>л.с</w:t>
      </w:r>
      <w:proofErr w:type="spellEnd"/>
      <w:r w:rsidRPr="002A732E">
        <w:rPr>
          <w:rFonts w:ascii="Times New Roman" w:hAnsi="Times New Roman" w:cs="Times New Roman"/>
          <w:sz w:val="20"/>
          <w:szCs w:val="20"/>
        </w:rPr>
        <w:t xml:space="preserve">. x 1 мес. / 12 мес.) - налог по автомобилю марки Мицубиси </w:t>
      </w:r>
      <w:proofErr w:type="spellStart"/>
      <w:r w:rsidRPr="002A732E">
        <w:rPr>
          <w:rFonts w:ascii="Times New Roman" w:hAnsi="Times New Roman" w:cs="Times New Roman"/>
          <w:sz w:val="20"/>
          <w:szCs w:val="20"/>
        </w:rPr>
        <w:t>Паджеро</w:t>
      </w:r>
      <w:proofErr w:type="spellEnd"/>
      <w:r w:rsidRPr="002A732E">
        <w:rPr>
          <w:rFonts w:ascii="Times New Roman" w:hAnsi="Times New Roman" w:cs="Times New Roman"/>
          <w:sz w:val="20"/>
          <w:szCs w:val="20"/>
        </w:rPr>
        <w:t>;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sz w:val="20"/>
          <w:szCs w:val="20"/>
        </w:rPr>
        <w:t xml:space="preserve">- 350 руб. (105 </w:t>
      </w:r>
      <w:proofErr w:type="spellStart"/>
      <w:r w:rsidRPr="002A732E">
        <w:rPr>
          <w:rFonts w:ascii="Times New Roman" w:hAnsi="Times New Roman" w:cs="Times New Roman"/>
          <w:sz w:val="20"/>
          <w:szCs w:val="20"/>
        </w:rPr>
        <w:t>л.с</w:t>
      </w:r>
      <w:proofErr w:type="spellEnd"/>
      <w:r w:rsidRPr="002A732E">
        <w:rPr>
          <w:rFonts w:ascii="Times New Roman" w:hAnsi="Times New Roman" w:cs="Times New Roman"/>
          <w:sz w:val="20"/>
          <w:szCs w:val="20"/>
        </w:rPr>
        <w:t xml:space="preserve">. x 20 руб. с 1 </w:t>
      </w:r>
      <w:proofErr w:type="spellStart"/>
      <w:r w:rsidRPr="002A732E">
        <w:rPr>
          <w:rFonts w:ascii="Times New Roman" w:hAnsi="Times New Roman" w:cs="Times New Roman"/>
          <w:sz w:val="20"/>
          <w:szCs w:val="20"/>
        </w:rPr>
        <w:t>л.с</w:t>
      </w:r>
      <w:proofErr w:type="spellEnd"/>
      <w:r w:rsidRPr="002A732E">
        <w:rPr>
          <w:rFonts w:ascii="Times New Roman" w:hAnsi="Times New Roman" w:cs="Times New Roman"/>
          <w:sz w:val="20"/>
          <w:szCs w:val="20"/>
        </w:rPr>
        <w:t>. x 2 мес. / 12 мес.) - налог по автомобилю марки Мазда 3;</w:t>
      </w:r>
    </w:p>
    <w:p w:rsidR="006A1A78" w:rsidRPr="002A732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2A732E">
        <w:rPr>
          <w:rFonts w:ascii="Times New Roman" w:hAnsi="Times New Roman" w:cs="Times New Roman"/>
          <w:sz w:val="20"/>
          <w:szCs w:val="20"/>
        </w:rPr>
        <w:lastRenderedPageBreak/>
        <w:t xml:space="preserve">- 105 руб. (90 </w:t>
      </w:r>
      <w:proofErr w:type="spellStart"/>
      <w:r w:rsidRPr="002A732E">
        <w:rPr>
          <w:rFonts w:ascii="Times New Roman" w:hAnsi="Times New Roman" w:cs="Times New Roman"/>
          <w:sz w:val="20"/>
          <w:szCs w:val="20"/>
        </w:rPr>
        <w:t>л.с</w:t>
      </w:r>
      <w:proofErr w:type="spellEnd"/>
      <w:r w:rsidRPr="002A732E">
        <w:rPr>
          <w:rFonts w:ascii="Times New Roman" w:hAnsi="Times New Roman" w:cs="Times New Roman"/>
          <w:sz w:val="20"/>
          <w:szCs w:val="20"/>
        </w:rPr>
        <w:t xml:space="preserve">. x 7 руб. с 1 </w:t>
      </w:r>
      <w:proofErr w:type="spellStart"/>
      <w:r w:rsidRPr="002A732E">
        <w:rPr>
          <w:rFonts w:ascii="Times New Roman" w:hAnsi="Times New Roman" w:cs="Times New Roman"/>
          <w:sz w:val="20"/>
          <w:szCs w:val="20"/>
        </w:rPr>
        <w:t>л.с</w:t>
      </w:r>
      <w:proofErr w:type="spellEnd"/>
      <w:r w:rsidRPr="002A732E">
        <w:rPr>
          <w:rFonts w:ascii="Times New Roman" w:hAnsi="Times New Roman" w:cs="Times New Roman"/>
          <w:sz w:val="20"/>
          <w:szCs w:val="20"/>
        </w:rPr>
        <w:t>. x 10 мес. / 12 мес.) - налог по автомобилю марки Фольксваген Пассат Вариант CL.</w:t>
      </w:r>
    </w:p>
    <w:p w:rsidR="006A1A78" w:rsidRPr="00866F9D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6A1A78" w:rsidRPr="00866F9D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394F7F">
        <w:rPr>
          <w:rFonts w:ascii="Times New Roman" w:hAnsi="Times New Roman" w:cs="Times New Roman"/>
          <w:b/>
          <w:sz w:val="20"/>
          <w:szCs w:val="20"/>
        </w:rPr>
        <w:t>Вопрос:</w:t>
      </w:r>
      <w:r w:rsidRPr="00866F9D">
        <w:rPr>
          <w:rFonts w:ascii="Times New Roman" w:hAnsi="Times New Roman" w:cs="Times New Roman"/>
          <w:sz w:val="20"/>
          <w:szCs w:val="20"/>
        </w:rPr>
        <w:t xml:space="preserve"> Кто является плательщиком транспортного налога в случае наличия доверенности на право владения транспортным средством?</w:t>
      </w:r>
    </w:p>
    <w:p w:rsidR="006A1A78" w:rsidRPr="00866F9D" w:rsidRDefault="006A1A78" w:rsidP="006A1A78">
      <w:pPr>
        <w:autoSpaceDE w:val="0"/>
        <w:autoSpaceDN w:val="0"/>
        <w:adjustRightInd w:val="0"/>
        <w:ind w:firstLine="540"/>
        <w:jc w:val="both"/>
        <w:outlineLvl w:val="0"/>
        <w:rPr>
          <w:rFonts w:ascii="Times New Roman" w:hAnsi="Times New Roman" w:cs="Times New Roman"/>
          <w:sz w:val="20"/>
          <w:szCs w:val="20"/>
        </w:rPr>
      </w:pPr>
    </w:p>
    <w:p w:rsidR="006A1A78" w:rsidRPr="00866F9D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394F7F">
        <w:rPr>
          <w:rFonts w:ascii="Times New Roman" w:hAnsi="Times New Roman" w:cs="Times New Roman"/>
          <w:b/>
          <w:sz w:val="20"/>
          <w:szCs w:val="20"/>
        </w:rPr>
        <w:t>Ответ:</w:t>
      </w:r>
      <w:r w:rsidRPr="00866F9D">
        <w:rPr>
          <w:rFonts w:ascii="Times New Roman" w:hAnsi="Times New Roman" w:cs="Times New Roman"/>
          <w:sz w:val="20"/>
          <w:szCs w:val="20"/>
        </w:rPr>
        <w:t xml:space="preserve"> Согласно </w:t>
      </w:r>
      <w:hyperlink r:id="rId9" w:history="1">
        <w:r w:rsidRPr="00866F9D">
          <w:rPr>
            <w:rFonts w:ascii="Times New Roman" w:hAnsi="Times New Roman" w:cs="Times New Roman"/>
            <w:sz w:val="20"/>
            <w:szCs w:val="20"/>
          </w:rPr>
          <w:t>ст. 357</w:t>
        </w:r>
      </w:hyperlink>
      <w:r w:rsidRPr="00866F9D">
        <w:rPr>
          <w:rFonts w:ascii="Times New Roman" w:hAnsi="Times New Roman" w:cs="Times New Roman"/>
          <w:sz w:val="20"/>
          <w:szCs w:val="20"/>
        </w:rPr>
        <w:t xml:space="preserve"> Налогового кодекса Российской Федерации (далее - НК РФ) плательщиками транспортного налога признаются лица, на которых в соответствии с законодательством РФ зарегистрированы транспортные средства (далее - ТС), признаваемые объектом налогообложения в соответствии со </w:t>
      </w:r>
      <w:hyperlink r:id="rId10" w:history="1">
        <w:r w:rsidRPr="00866F9D">
          <w:rPr>
            <w:rFonts w:ascii="Times New Roman" w:hAnsi="Times New Roman" w:cs="Times New Roman"/>
            <w:sz w:val="20"/>
            <w:szCs w:val="20"/>
          </w:rPr>
          <w:t>ст. 358</w:t>
        </w:r>
      </w:hyperlink>
      <w:r w:rsidRPr="00866F9D">
        <w:rPr>
          <w:rFonts w:ascii="Times New Roman" w:hAnsi="Times New Roman" w:cs="Times New Roman"/>
          <w:sz w:val="20"/>
          <w:szCs w:val="20"/>
        </w:rPr>
        <w:t xml:space="preserve"> НК РФ, если иное не предусмотрено ст. 357 НК РФ.</w:t>
      </w:r>
    </w:p>
    <w:p w:rsidR="006A1A78" w:rsidRPr="00866F9D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66F9D">
        <w:rPr>
          <w:rFonts w:ascii="Times New Roman" w:hAnsi="Times New Roman" w:cs="Times New Roman"/>
          <w:sz w:val="20"/>
          <w:szCs w:val="20"/>
        </w:rPr>
        <w:t xml:space="preserve">При этом в </w:t>
      </w:r>
      <w:hyperlink r:id="rId11" w:history="1">
        <w:proofErr w:type="spellStart"/>
        <w:r w:rsidRPr="00866F9D">
          <w:rPr>
            <w:rFonts w:ascii="Times New Roman" w:hAnsi="Times New Roman" w:cs="Times New Roman"/>
            <w:sz w:val="20"/>
            <w:szCs w:val="20"/>
          </w:rPr>
          <w:t>абз</w:t>
        </w:r>
        <w:proofErr w:type="spellEnd"/>
        <w:r w:rsidRPr="00866F9D">
          <w:rPr>
            <w:rFonts w:ascii="Times New Roman" w:hAnsi="Times New Roman" w:cs="Times New Roman"/>
            <w:sz w:val="20"/>
            <w:szCs w:val="20"/>
          </w:rPr>
          <w:t>. 2 ст. 357</w:t>
        </w:r>
      </w:hyperlink>
      <w:r w:rsidRPr="00866F9D">
        <w:rPr>
          <w:rFonts w:ascii="Times New Roman" w:hAnsi="Times New Roman" w:cs="Times New Roman"/>
          <w:sz w:val="20"/>
          <w:szCs w:val="20"/>
        </w:rPr>
        <w:t xml:space="preserve"> НК РФ четко указано, что по ТС, зарегистрированным на физических лиц, приобретенным и переданным ими на основании доверенности на право владения и распоряжения ТС, до момента официального опубликования Федерального </w:t>
      </w:r>
      <w:hyperlink r:id="rId12" w:history="1">
        <w:r w:rsidRPr="00866F9D">
          <w:rPr>
            <w:rFonts w:ascii="Times New Roman" w:hAnsi="Times New Roman" w:cs="Times New Roman"/>
            <w:sz w:val="20"/>
            <w:szCs w:val="20"/>
          </w:rPr>
          <w:t>закона</w:t>
        </w:r>
      </w:hyperlink>
      <w:r w:rsidRPr="00866F9D">
        <w:rPr>
          <w:rFonts w:ascii="Times New Roman" w:hAnsi="Times New Roman" w:cs="Times New Roman"/>
          <w:sz w:val="20"/>
          <w:szCs w:val="20"/>
        </w:rPr>
        <w:t xml:space="preserve"> от 24.07.2002 N 110-ФЗ (опубликован в "Собрании законодательства РФ" 29.07.2002, в "Российской газете" 30.07.2002), которым введена </w:t>
      </w:r>
      <w:hyperlink r:id="rId13" w:history="1">
        <w:r w:rsidRPr="00866F9D">
          <w:rPr>
            <w:rFonts w:ascii="Times New Roman" w:hAnsi="Times New Roman" w:cs="Times New Roman"/>
            <w:sz w:val="20"/>
            <w:szCs w:val="20"/>
          </w:rPr>
          <w:t>гл. 28</w:t>
        </w:r>
      </w:hyperlink>
      <w:r w:rsidRPr="00866F9D">
        <w:rPr>
          <w:rFonts w:ascii="Times New Roman" w:hAnsi="Times New Roman" w:cs="Times New Roman"/>
          <w:sz w:val="20"/>
          <w:szCs w:val="20"/>
        </w:rPr>
        <w:t xml:space="preserve"> "Транспортный налог" НК РФ, налогоплательщиком</w:t>
      </w:r>
      <w:proofErr w:type="gramEnd"/>
      <w:r w:rsidRPr="00866F9D">
        <w:rPr>
          <w:rFonts w:ascii="Times New Roman" w:hAnsi="Times New Roman" w:cs="Times New Roman"/>
          <w:sz w:val="20"/>
          <w:szCs w:val="20"/>
        </w:rPr>
        <w:t xml:space="preserve"> является лицо, указанное в такой доверенности. Иными словами, по ТС, </w:t>
      </w:r>
      <w:proofErr w:type="gramStart"/>
      <w:r w:rsidRPr="00866F9D">
        <w:rPr>
          <w:rFonts w:ascii="Times New Roman" w:hAnsi="Times New Roman" w:cs="Times New Roman"/>
          <w:sz w:val="20"/>
          <w:szCs w:val="20"/>
        </w:rPr>
        <w:t>переданным</w:t>
      </w:r>
      <w:proofErr w:type="gramEnd"/>
      <w:r w:rsidRPr="00866F9D">
        <w:rPr>
          <w:rFonts w:ascii="Times New Roman" w:hAnsi="Times New Roman" w:cs="Times New Roman"/>
          <w:sz w:val="20"/>
          <w:szCs w:val="20"/>
        </w:rPr>
        <w:t xml:space="preserve"> по доверенности до 29.07.2002, налогоплательщиками признавались лица, получившие ТС по доверенности, а по ТС, переданным по доверенности после 29.07.2002 (включая указанную дату), налогоплательщиками признаются физические лица, на которых зарегистрированы ТС.</w:t>
      </w:r>
    </w:p>
    <w:p w:rsidR="006A1A78" w:rsidRPr="00866F9D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866F9D">
        <w:rPr>
          <w:rFonts w:ascii="Times New Roman" w:hAnsi="Times New Roman" w:cs="Times New Roman"/>
          <w:sz w:val="20"/>
          <w:szCs w:val="20"/>
        </w:rPr>
        <w:t xml:space="preserve">Кроме того, необходимо отметить, что в соответствии со </w:t>
      </w:r>
      <w:hyperlink r:id="rId14" w:history="1">
        <w:r w:rsidRPr="00866F9D">
          <w:rPr>
            <w:rFonts w:ascii="Times New Roman" w:hAnsi="Times New Roman" w:cs="Times New Roman"/>
            <w:sz w:val="20"/>
            <w:szCs w:val="20"/>
          </w:rPr>
          <w:t>ст. 186</w:t>
        </w:r>
      </w:hyperlink>
      <w:r w:rsidRPr="00866F9D">
        <w:rPr>
          <w:rFonts w:ascii="Times New Roman" w:hAnsi="Times New Roman" w:cs="Times New Roman"/>
          <w:sz w:val="20"/>
          <w:szCs w:val="20"/>
        </w:rPr>
        <w:t xml:space="preserve"> Гражданского кодекса Российской Федерации срок действия доверенности не может превышать трех лет. При этом согласно гражданскому законодательству РФ передача по доверенности ТС другому лицу не влечет изменения права собственности на </w:t>
      </w:r>
      <w:proofErr w:type="gramStart"/>
      <w:r w:rsidRPr="00866F9D">
        <w:rPr>
          <w:rFonts w:ascii="Times New Roman" w:hAnsi="Times New Roman" w:cs="Times New Roman"/>
          <w:sz w:val="20"/>
          <w:szCs w:val="20"/>
        </w:rPr>
        <w:t>указанное</w:t>
      </w:r>
      <w:proofErr w:type="gramEnd"/>
      <w:r w:rsidRPr="00866F9D">
        <w:rPr>
          <w:rFonts w:ascii="Times New Roman" w:hAnsi="Times New Roman" w:cs="Times New Roman"/>
          <w:sz w:val="20"/>
          <w:szCs w:val="20"/>
        </w:rPr>
        <w:t xml:space="preserve"> ТС.</w:t>
      </w:r>
    </w:p>
    <w:p w:rsidR="006A1A78" w:rsidRPr="00866F9D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866F9D">
        <w:rPr>
          <w:rFonts w:ascii="Times New Roman" w:hAnsi="Times New Roman" w:cs="Times New Roman"/>
          <w:sz w:val="20"/>
          <w:szCs w:val="20"/>
        </w:rPr>
        <w:t>Таким образом, в случае, если переданное по доверенности до 29.07.2002 ТС не было зарегистрировано за новым владельцем или оно не было снято с регистрационного учета в органах ГИБДД МВД России, то по истечении трех лет с момента выдачи доверенности плательщиком транспортного налога является физическое лицо, на которое зарегистрировано указанное ТС.</w:t>
      </w:r>
    </w:p>
    <w:p w:rsidR="006A1A78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b/>
          <w:sz w:val="20"/>
          <w:szCs w:val="20"/>
        </w:rPr>
        <w:t>Вопрос:</w:t>
      </w:r>
      <w:r w:rsidRPr="0055570E">
        <w:rPr>
          <w:rFonts w:ascii="Times New Roman" w:hAnsi="Times New Roman" w:cs="Times New Roman"/>
          <w:sz w:val="20"/>
          <w:szCs w:val="20"/>
        </w:rPr>
        <w:t xml:space="preserve"> Кто устанавливает налоговые ставки по транспортному налогу, налоговые льготы и основания для их использования налогоплательщиком?</w:t>
      </w: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b/>
          <w:sz w:val="20"/>
          <w:szCs w:val="20"/>
        </w:rPr>
        <w:t>Ответ:</w:t>
      </w:r>
      <w:r w:rsidRPr="0055570E">
        <w:rPr>
          <w:rFonts w:ascii="Times New Roman" w:hAnsi="Times New Roman" w:cs="Times New Roman"/>
          <w:sz w:val="20"/>
          <w:szCs w:val="20"/>
        </w:rPr>
        <w:t xml:space="preserve"> Согласно </w:t>
      </w:r>
      <w:hyperlink r:id="rId15" w:history="1">
        <w:r w:rsidRPr="0055570E">
          <w:rPr>
            <w:rFonts w:ascii="Times New Roman" w:hAnsi="Times New Roman" w:cs="Times New Roman"/>
            <w:sz w:val="20"/>
            <w:szCs w:val="20"/>
          </w:rPr>
          <w:t>ст. 356</w:t>
        </w:r>
      </w:hyperlink>
      <w:r w:rsidRPr="0055570E">
        <w:rPr>
          <w:rFonts w:ascii="Times New Roman" w:hAnsi="Times New Roman" w:cs="Times New Roman"/>
          <w:sz w:val="20"/>
          <w:szCs w:val="20"/>
        </w:rPr>
        <w:t xml:space="preserve"> Налогового кодекса Российской Федерации (далее - НК РФ) транспортный налог устанавливается НК РФ и законами субъектов РФ о налоге, вводится в действие в соответствии с НК РФ законами субъектов РФ о налоге и обязателен к уплате на территории соответствующего субъекта РФ.</w:t>
      </w: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sz w:val="20"/>
          <w:szCs w:val="20"/>
        </w:rPr>
        <w:t xml:space="preserve">Вводя налог, законодательные (представительные) органы субъекта РФ определяют ставку налога в пределах, установленных </w:t>
      </w:r>
      <w:hyperlink r:id="rId16" w:history="1">
        <w:r w:rsidRPr="0055570E">
          <w:rPr>
            <w:rFonts w:ascii="Times New Roman" w:hAnsi="Times New Roman" w:cs="Times New Roman"/>
            <w:sz w:val="20"/>
            <w:szCs w:val="20"/>
          </w:rPr>
          <w:t>НК</w:t>
        </w:r>
      </w:hyperlink>
      <w:r w:rsidRPr="0055570E">
        <w:rPr>
          <w:rFonts w:ascii="Times New Roman" w:hAnsi="Times New Roman" w:cs="Times New Roman"/>
          <w:sz w:val="20"/>
          <w:szCs w:val="20"/>
        </w:rPr>
        <w:t xml:space="preserve"> РФ, порядок и сроки его уплаты.</w:t>
      </w: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sz w:val="20"/>
          <w:szCs w:val="20"/>
        </w:rPr>
        <w:t>При установлении налога законами субъектов РФ могут также предусматриваться налоговые льготы и основания для их использования налогоплательщиком.</w:t>
      </w:r>
    </w:p>
    <w:p w:rsidR="006A1A78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b/>
          <w:sz w:val="20"/>
          <w:szCs w:val="20"/>
        </w:rPr>
        <w:t>Вопрос:</w:t>
      </w:r>
      <w:r w:rsidRPr="0055570E">
        <w:rPr>
          <w:rFonts w:ascii="Times New Roman" w:hAnsi="Times New Roman" w:cs="Times New Roman"/>
          <w:sz w:val="20"/>
          <w:szCs w:val="20"/>
        </w:rPr>
        <w:t xml:space="preserve"> Вправе ли налоговая инспекция начислить пени за несвоевременную уплату транспортного налога, если уведомление на его уплату налогоплательщиком не получено?</w:t>
      </w: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b/>
          <w:sz w:val="20"/>
          <w:szCs w:val="20"/>
        </w:rPr>
        <w:lastRenderedPageBreak/>
        <w:t>Ответ:</w:t>
      </w:r>
      <w:r w:rsidRPr="0055570E">
        <w:rPr>
          <w:rFonts w:ascii="Times New Roman" w:hAnsi="Times New Roman" w:cs="Times New Roman"/>
          <w:sz w:val="20"/>
          <w:szCs w:val="20"/>
        </w:rPr>
        <w:t xml:space="preserve"> Налоговый </w:t>
      </w:r>
      <w:hyperlink r:id="rId17" w:history="1">
        <w:r w:rsidRPr="0055570E">
          <w:rPr>
            <w:rFonts w:ascii="Times New Roman" w:hAnsi="Times New Roman" w:cs="Times New Roman"/>
            <w:sz w:val="20"/>
            <w:szCs w:val="20"/>
          </w:rPr>
          <w:t>кодекс</w:t>
        </w:r>
      </w:hyperlink>
      <w:r w:rsidRPr="0055570E">
        <w:rPr>
          <w:rFonts w:ascii="Times New Roman" w:hAnsi="Times New Roman" w:cs="Times New Roman"/>
          <w:sz w:val="20"/>
          <w:szCs w:val="20"/>
        </w:rPr>
        <w:t xml:space="preserve"> РФ не связывает начисление пеней с фактом неполучения физическим лицом уведомления на уплату транспортного налога. Вместе с тем в случае </w:t>
      </w:r>
      <w:proofErr w:type="spellStart"/>
      <w:r w:rsidRPr="0055570E">
        <w:rPr>
          <w:rFonts w:ascii="Times New Roman" w:hAnsi="Times New Roman" w:cs="Times New Roman"/>
          <w:sz w:val="20"/>
          <w:szCs w:val="20"/>
        </w:rPr>
        <w:t>ненаправления</w:t>
      </w:r>
      <w:proofErr w:type="spellEnd"/>
      <w:r w:rsidRPr="0055570E">
        <w:rPr>
          <w:rFonts w:ascii="Times New Roman" w:hAnsi="Times New Roman" w:cs="Times New Roman"/>
          <w:sz w:val="20"/>
          <w:szCs w:val="20"/>
        </w:rPr>
        <w:t xml:space="preserve"> уведомления в соответствующем порядке обязанность по уплате налога у физического лица не наступает, пени не начисляются.</w:t>
      </w: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sz w:val="20"/>
          <w:szCs w:val="20"/>
        </w:rPr>
        <w:t>Обоснование: Налогоплательщики, являющиеся физическими лицами, уплачивают транспортный налог на основании налогового уведомления, направляемого налоговым органом (</w:t>
      </w:r>
      <w:hyperlink r:id="rId18" w:history="1">
        <w:r w:rsidRPr="0055570E">
          <w:rPr>
            <w:rFonts w:ascii="Times New Roman" w:hAnsi="Times New Roman" w:cs="Times New Roman"/>
            <w:sz w:val="20"/>
            <w:szCs w:val="20"/>
          </w:rPr>
          <w:t>п. 3 ст. 363</w:t>
        </w:r>
      </w:hyperlink>
      <w:r w:rsidRPr="0055570E">
        <w:rPr>
          <w:rFonts w:ascii="Times New Roman" w:hAnsi="Times New Roman" w:cs="Times New Roman"/>
          <w:sz w:val="20"/>
          <w:szCs w:val="20"/>
        </w:rPr>
        <w:t xml:space="preserve"> НК РФ).</w:t>
      </w: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sz w:val="20"/>
          <w:szCs w:val="20"/>
        </w:rPr>
        <w:t xml:space="preserve">Следует отметить, что в силу </w:t>
      </w:r>
      <w:hyperlink r:id="rId19" w:history="1">
        <w:r w:rsidRPr="0055570E">
          <w:rPr>
            <w:rFonts w:ascii="Times New Roman" w:hAnsi="Times New Roman" w:cs="Times New Roman"/>
            <w:sz w:val="20"/>
            <w:szCs w:val="20"/>
          </w:rPr>
          <w:t>п. 3 ст. 363</w:t>
        </w:r>
      </w:hyperlink>
      <w:r w:rsidRPr="0055570E">
        <w:rPr>
          <w:rFonts w:ascii="Times New Roman" w:hAnsi="Times New Roman" w:cs="Times New Roman"/>
          <w:sz w:val="20"/>
          <w:szCs w:val="20"/>
        </w:rPr>
        <w:t xml:space="preserve"> НК РФ направление налогового уведомления допускается не более чем за три налоговых периода, предшествующих календарному году его направления. Налогоплательщики в этом случае уплачивают налог не более чем за три налоговых периода, предшествующих календарному году направления налогового уведомления.</w:t>
      </w: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sz w:val="20"/>
          <w:szCs w:val="20"/>
        </w:rPr>
        <w:t>В случае если обязанность по исчислению суммы налога возлагается на налоговый орган, не позднее 30 дней до наступления срока платежа налоговый орган направляет налогоплательщику налоговое уведомление (</w:t>
      </w:r>
      <w:hyperlink r:id="rId20" w:history="1">
        <w:r w:rsidRPr="0055570E">
          <w:rPr>
            <w:rFonts w:ascii="Times New Roman" w:hAnsi="Times New Roman" w:cs="Times New Roman"/>
            <w:sz w:val="20"/>
            <w:szCs w:val="20"/>
          </w:rPr>
          <w:t>п. 2 ст. 52</w:t>
        </w:r>
      </w:hyperlink>
      <w:r w:rsidRPr="0055570E">
        <w:rPr>
          <w:rFonts w:ascii="Times New Roman" w:hAnsi="Times New Roman" w:cs="Times New Roman"/>
          <w:sz w:val="20"/>
          <w:szCs w:val="20"/>
        </w:rPr>
        <w:t xml:space="preserve"> НК РФ).</w:t>
      </w: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sz w:val="20"/>
          <w:szCs w:val="20"/>
        </w:rPr>
        <w:t>В случаях, когда расчет налоговой базы производится налоговым органом, обязанность по уплате налога возникает не ранее даты получения налогового уведомления (</w:t>
      </w:r>
      <w:hyperlink r:id="rId21" w:history="1">
        <w:r w:rsidRPr="0055570E">
          <w:rPr>
            <w:rFonts w:ascii="Times New Roman" w:hAnsi="Times New Roman" w:cs="Times New Roman"/>
            <w:sz w:val="20"/>
            <w:szCs w:val="20"/>
          </w:rPr>
          <w:t>п. 4 ст. 57</w:t>
        </w:r>
      </w:hyperlink>
      <w:r w:rsidRPr="0055570E">
        <w:rPr>
          <w:rFonts w:ascii="Times New Roman" w:hAnsi="Times New Roman" w:cs="Times New Roman"/>
          <w:sz w:val="20"/>
          <w:szCs w:val="20"/>
        </w:rPr>
        <w:t xml:space="preserve"> НК РФ).</w:t>
      </w: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sz w:val="20"/>
          <w:szCs w:val="20"/>
        </w:rPr>
        <w:t xml:space="preserve">Налоговое уведомление может быть передано физическому лицу (его законному или уполномоченному представителю) лично под расписку, направлено по почте заказным письмом. В случае направления налогового уведомления по почте заказным письмом налоговое уведомление считается полученным по истечении шести дней </w:t>
      </w:r>
      <w:proofErr w:type="gramStart"/>
      <w:r w:rsidRPr="0055570E">
        <w:rPr>
          <w:rFonts w:ascii="Times New Roman" w:hAnsi="Times New Roman" w:cs="Times New Roman"/>
          <w:sz w:val="20"/>
          <w:szCs w:val="20"/>
        </w:rPr>
        <w:t>с даты направления</w:t>
      </w:r>
      <w:proofErr w:type="gramEnd"/>
      <w:r w:rsidRPr="0055570E">
        <w:rPr>
          <w:rFonts w:ascii="Times New Roman" w:hAnsi="Times New Roman" w:cs="Times New Roman"/>
          <w:sz w:val="20"/>
          <w:szCs w:val="20"/>
        </w:rPr>
        <w:t xml:space="preserve"> заказного письма (</w:t>
      </w:r>
      <w:hyperlink r:id="rId22" w:history="1">
        <w:r w:rsidRPr="0055570E">
          <w:rPr>
            <w:rFonts w:ascii="Times New Roman" w:hAnsi="Times New Roman" w:cs="Times New Roman"/>
            <w:sz w:val="20"/>
            <w:szCs w:val="20"/>
          </w:rPr>
          <w:t>п. 4 ст. 52</w:t>
        </w:r>
      </w:hyperlink>
      <w:r w:rsidRPr="0055570E">
        <w:rPr>
          <w:rFonts w:ascii="Times New Roman" w:hAnsi="Times New Roman" w:cs="Times New Roman"/>
          <w:sz w:val="20"/>
          <w:szCs w:val="20"/>
        </w:rPr>
        <w:t xml:space="preserve"> НК РФ).</w:t>
      </w: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sz w:val="20"/>
          <w:szCs w:val="20"/>
        </w:rPr>
        <w:t xml:space="preserve">Таким образом, при отсутствии данных о вручении в вышеприведенном порядке уведомления (с указанным в нем сроком уплаты) пени по налогу начислены быть не могут. Начисление пеней производится в случае просрочки исполнения обязанности по уплате налога на основании </w:t>
      </w:r>
      <w:hyperlink r:id="rId23" w:history="1">
        <w:r w:rsidRPr="0055570E">
          <w:rPr>
            <w:rFonts w:ascii="Times New Roman" w:hAnsi="Times New Roman" w:cs="Times New Roman"/>
            <w:sz w:val="20"/>
            <w:szCs w:val="20"/>
          </w:rPr>
          <w:t>ст. 75</w:t>
        </w:r>
      </w:hyperlink>
      <w:r w:rsidRPr="0055570E">
        <w:rPr>
          <w:rFonts w:ascii="Times New Roman" w:hAnsi="Times New Roman" w:cs="Times New Roman"/>
          <w:sz w:val="20"/>
          <w:szCs w:val="20"/>
        </w:rPr>
        <w:t xml:space="preserve"> НК РФ.</w:t>
      </w:r>
    </w:p>
    <w:p w:rsidR="006A1A78" w:rsidRPr="0055570E" w:rsidRDefault="006A1A78" w:rsidP="006A1A78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5570E">
        <w:rPr>
          <w:rFonts w:ascii="Times New Roman" w:hAnsi="Times New Roman" w:cs="Times New Roman"/>
          <w:sz w:val="20"/>
          <w:szCs w:val="20"/>
        </w:rPr>
        <w:t xml:space="preserve">Таким образом, </w:t>
      </w:r>
      <w:hyperlink r:id="rId24" w:history="1">
        <w:r w:rsidRPr="0055570E">
          <w:rPr>
            <w:rFonts w:ascii="Times New Roman" w:hAnsi="Times New Roman" w:cs="Times New Roman"/>
            <w:sz w:val="20"/>
            <w:szCs w:val="20"/>
          </w:rPr>
          <w:t>НК</w:t>
        </w:r>
      </w:hyperlink>
      <w:r w:rsidRPr="0055570E">
        <w:rPr>
          <w:rFonts w:ascii="Times New Roman" w:hAnsi="Times New Roman" w:cs="Times New Roman"/>
          <w:sz w:val="20"/>
          <w:szCs w:val="20"/>
        </w:rPr>
        <w:t xml:space="preserve"> РФ не связывает начисление пеней с фактом неполучения физическим лицом уведомления на уплату транспортного налога. Вместе с тем в случае </w:t>
      </w:r>
      <w:proofErr w:type="spellStart"/>
      <w:r w:rsidRPr="0055570E">
        <w:rPr>
          <w:rFonts w:ascii="Times New Roman" w:hAnsi="Times New Roman" w:cs="Times New Roman"/>
          <w:sz w:val="20"/>
          <w:szCs w:val="20"/>
        </w:rPr>
        <w:t>ненаправления</w:t>
      </w:r>
      <w:proofErr w:type="spellEnd"/>
      <w:r w:rsidRPr="0055570E">
        <w:rPr>
          <w:rFonts w:ascii="Times New Roman" w:hAnsi="Times New Roman" w:cs="Times New Roman"/>
          <w:sz w:val="20"/>
          <w:szCs w:val="20"/>
        </w:rPr>
        <w:t xml:space="preserve"> уведомления в соответствующем порядке обязанность по уплате налога у физического лица не наступает, пени не начисляются.</w:t>
      </w:r>
    </w:p>
    <w:p w:rsidR="00A0768C" w:rsidRDefault="006A1A78"/>
    <w:sectPr w:rsidR="00A07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78"/>
    <w:rsid w:val="000905B6"/>
    <w:rsid w:val="005667F9"/>
    <w:rsid w:val="006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3B57A171BC971970CD100A735E24DB34D15B6702FE8AC242D2F688E6B92B92410572B6ECA76d15CL" TargetMode="External"/><Relationship Id="rId13" Type="http://schemas.openxmlformats.org/officeDocument/2006/relationships/hyperlink" Target="consultantplus://offline/ref=D4FAC3E8C7E28EE65476D1978D5B153A2FE0B4F43E69CE157E15E81F9A9E71A8BF0F4D9FB4B61D664CBBM" TargetMode="External"/><Relationship Id="rId18" Type="http://schemas.openxmlformats.org/officeDocument/2006/relationships/hyperlink" Target="consultantplus://offline/ref=E31A495FA90B274346A13EC464B34F384D04D7046B85B5987524E059CF382061CC443EC18407aDPF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E31A495FA90B274346A13EC464B34F384D04DC066A8FB5987524E059CF382061CC443EC1810FDB06a1P2M" TargetMode="External"/><Relationship Id="rId7" Type="http://schemas.openxmlformats.org/officeDocument/2006/relationships/hyperlink" Target="consultantplus://offline/ref=73B57A171BC971970CD100A735E24DB34D15B6702FE8AC242D2F688E6B92B92410572B6ECA76d15BL" TargetMode="External"/><Relationship Id="rId12" Type="http://schemas.openxmlformats.org/officeDocument/2006/relationships/hyperlink" Target="consultantplus://offline/ref=D4FAC3E8C7E28EE65476D1978D5B153A2FE3B3F23C67CE157E15E81F9A9E71A8BF0F4D9FB4B517644CB8M" TargetMode="External"/><Relationship Id="rId17" Type="http://schemas.openxmlformats.org/officeDocument/2006/relationships/hyperlink" Target="consultantplus://offline/ref=E31A495FA90B274346A13EC464B34F384D04DC066A8FB5987524E059CFa3P8M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B16599962591730E4BE18667DDBAF0D97B4CCE02D6B527133C8C781C9C4963L" TargetMode="External"/><Relationship Id="rId20" Type="http://schemas.openxmlformats.org/officeDocument/2006/relationships/hyperlink" Target="consultantplus://offline/ref=E31A495FA90B274346A13EC464B34F384D04DC066A8FB5987524E059CF382061CC443EC18106aDP6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73B57A171BC971970CD100A735E24DB34D15B6702FE8AC242D2F688E6B92B92410572B6ECA76d15EL" TargetMode="External"/><Relationship Id="rId11" Type="http://schemas.openxmlformats.org/officeDocument/2006/relationships/hyperlink" Target="consultantplus://offline/ref=D4FAC3E8C7E28EE65476D1978D5B153A2FE0B4F43E69CE157E15E81F9A9E71A8BF0F4D9FB4B61D664CB3M" TargetMode="External"/><Relationship Id="rId24" Type="http://schemas.openxmlformats.org/officeDocument/2006/relationships/hyperlink" Target="consultantplus://offline/ref=E31A495FA90B274346A13EC464B34F384D04DC066A8FB5987524E059CFa3P8M" TargetMode="External"/><Relationship Id="rId5" Type="http://schemas.openxmlformats.org/officeDocument/2006/relationships/hyperlink" Target="consultantplus://offline/ref=73B57A171BC971970CD100A735E24DB34D15B6702FE8AC242D2F688E6B92B92410572B6ECA76d15FL" TargetMode="External"/><Relationship Id="rId15" Type="http://schemas.openxmlformats.org/officeDocument/2006/relationships/hyperlink" Target="consultantplus://offline/ref=B16599962591730E4BE18667DDBAF0D97B4CCE02D6B527133C8C781C9C93A238F5D3A4547CBBC12F4B63L" TargetMode="External"/><Relationship Id="rId23" Type="http://schemas.openxmlformats.org/officeDocument/2006/relationships/hyperlink" Target="consultantplus://offline/ref=E31A495FA90B274346A13EC464B34F384D04DC066A8FB5987524E059CF382061CC443EC1810FD900a1PBM" TargetMode="External"/><Relationship Id="rId10" Type="http://schemas.openxmlformats.org/officeDocument/2006/relationships/hyperlink" Target="consultantplus://offline/ref=D4FAC3E8C7E28EE65476D1978D5B153A2FE0B4F43E69CE157E15E81F9A9E71A8BF0F4D9FB4B61D664CB2M" TargetMode="External"/><Relationship Id="rId19" Type="http://schemas.openxmlformats.org/officeDocument/2006/relationships/hyperlink" Target="consultantplus://offline/ref=E31A495FA90B274346A13EC464B34F384D04D7046B85B5987524E059CF382061CC443EC18407aDP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4FAC3E8C7E28EE65476D1978D5B153A2FE0B4F43E69CE157E15E81F9A9E71A8BF0F4D9FB4B61D664CBDM" TargetMode="External"/><Relationship Id="rId14" Type="http://schemas.openxmlformats.org/officeDocument/2006/relationships/hyperlink" Target="consultantplus://offline/ref=D4FAC3E8C7E28EE65476D1978D5B153A2FE1B0FC3B62CE157E15E81F9A9E71A8BF0F4D9FB4B414654CB2M" TargetMode="External"/><Relationship Id="rId22" Type="http://schemas.openxmlformats.org/officeDocument/2006/relationships/hyperlink" Target="consultantplus://offline/ref=E31A495FA90B274346A13EC464B34F384D04DC066A8FB5987524E059CF382061CC443EC28207aDP6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10192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Киселев Владимир Константинович</dc:creator>
  <cp:lastModifiedBy>Киселев Владимир Константинович</cp:lastModifiedBy>
  <cp:revision>1</cp:revision>
  <dcterms:created xsi:type="dcterms:W3CDTF">2013-08-30T07:48:00Z</dcterms:created>
  <dcterms:modified xsi:type="dcterms:W3CDTF">2013-08-30T07:49:00Z</dcterms:modified>
</cp:coreProperties>
</file>