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C6F37" w14:textId="58999C53" w:rsidR="005D72A0" w:rsidRPr="00822DE8" w:rsidRDefault="00000000" w:rsidP="00822DE8">
      <w:pPr>
        <w:pStyle w:val="Title"/>
        <w:spacing w:after="120"/>
      </w:pPr>
      <w:r w:rsidRPr="00822DE8">
        <w:rPr>
          <w:rFonts w:ascii="Calibri" w:hAnsi="Calibri"/>
          <w:color w:val="000000"/>
          <w:sz w:val="40"/>
        </w:rPr>
        <w:t>Reviewer feedback implementation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4392"/>
        <w:gridCol w:w="7762"/>
      </w:tblGrid>
      <w:tr w:rsidR="005D72A0" w:rsidRPr="00822DE8" w14:paraId="4D07E340" w14:textId="77777777">
        <w:trPr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8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53BE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Feedback point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8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073CB" w14:textId="1C900CD0" w:rsidR="005D72A0" w:rsidRPr="00822DE8" w:rsidRDefault="00822DE8">
            <w:pPr>
              <w:spacing w:after="40" w:line="245" w:lineRule="auto"/>
            </w:pPr>
            <w:r>
              <w:rPr>
                <w:b/>
              </w:rPr>
              <w:t>L</w:t>
            </w:r>
            <w:r w:rsidR="00000000" w:rsidRPr="00822DE8">
              <w:rPr>
                <w:b/>
              </w:rPr>
              <w:t>ocations</w:t>
            </w:r>
            <w:r>
              <w:rPr>
                <w:b/>
              </w:rPr>
              <w:t xml:space="preserve"> (highlighted in the PDF)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8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70F6F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Implementation against the proposal</w:t>
            </w:r>
          </w:p>
        </w:tc>
      </w:tr>
      <w:tr w:rsidR="005D72A0" w:rsidRPr="00822DE8" w14:paraId="0162B265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5E47E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1  Reviewer 1</w:t>
            </w:r>
            <w:r w:rsidRPr="00822DE8">
              <w:br/>
              <w:t>Weekend and holiday sentiment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B923B" w14:textId="77777777" w:rsidR="005D72A0" w:rsidRPr="00822DE8" w:rsidRDefault="00000000">
            <w:pPr>
              <w:spacing w:after="40" w:line="245" w:lineRule="auto"/>
            </w:pPr>
            <w:r w:rsidRPr="00822DE8">
              <w:t>Section 3 and Section 3.1</w:t>
            </w:r>
            <w:r w:rsidRPr="00822DE8">
              <w:br/>
              <w:t>PDF pp. 13-14</w:t>
            </w:r>
            <w:r w:rsidRPr="00822DE8">
              <w:br/>
              <w:t>Appendix A.1, PDF p. 48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5E72F" w14:textId="4CFA13D2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As proposed.</w:t>
            </w:r>
            <w:r w:rsidRPr="00822DE8">
              <w:t xml:space="preserve"> </w:t>
            </w:r>
          </w:p>
        </w:tc>
      </w:tr>
      <w:tr w:rsidR="005D72A0" w:rsidRPr="00822DE8" w14:paraId="34138791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288A2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2  Reviewer 1</w:t>
            </w:r>
            <w:r w:rsidRPr="00822DE8">
              <w:br/>
              <w:t>Prediction market measures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094AE" w14:textId="77777777" w:rsidR="005D72A0" w:rsidRPr="00822DE8" w:rsidRDefault="00000000">
            <w:pPr>
              <w:spacing w:after="40" w:line="245" w:lineRule="auto"/>
            </w:pPr>
            <w:r w:rsidRPr="00822DE8">
              <w:t>Section 3.3</w:t>
            </w:r>
            <w:r w:rsidRPr="00822DE8">
              <w:br/>
              <w:t>PDF pp. 19-20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4B6BE" w14:textId="74C3DD09" w:rsidR="005D72A0" w:rsidRPr="00822DE8" w:rsidRDefault="00822DE8">
            <w:pPr>
              <w:spacing w:after="40" w:line="245" w:lineRule="auto"/>
            </w:pPr>
            <w:r w:rsidRPr="00822DE8">
              <w:rPr>
                <w:b/>
              </w:rPr>
              <w:t>Implemented ad proposed</w:t>
            </w:r>
          </w:p>
        </w:tc>
      </w:tr>
      <w:tr w:rsidR="005D72A0" w:rsidRPr="00822DE8" w14:paraId="111B46EF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498C5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3  Reviewer 1</w:t>
            </w:r>
            <w:r w:rsidRPr="00822DE8">
              <w:br/>
              <w:t>S&amp;P 500 control choice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5A844" w14:textId="77777777" w:rsidR="005D72A0" w:rsidRPr="00822DE8" w:rsidRDefault="00000000">
            <w:pPr>
              <w:spacing w:after="40" w:line="245" w:lineRule="auto"/>
            </w:pPr>
            <w:r w:rsidRPr="00822DE8">
              <w:t>Section 4.2</w:t>
            </w:r>
            <w:r w:rsidRPr="00822DE8">
              <w:br/>
              <w:t>PDF p. 23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5055B" w14:textId="282C632F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Modified explanation.</w:t>
            </w:r>
            <w:r w:rsidRPr="00822DE8">
              <w:t xml:space="preserve"> Explains the different purposes of the two regression stages</w:t>
            </w:r>
            <w:r w:rsidR="00822DE8" w:rsidRPr="00822DE8">
              <w:t xml:space="preserve">: </w:t>
            </w:r>
            <w:r w:rsidRPr="00822DE8">
              <w:t>VIX and equity returns are described as different controls</w:t>
            </w:r>
            <w:r w:rsidR="00822DE8" w:rsidRPr="00822DE8">
              <w:t xml:space="preserve"> that serve different purposes in different regressions</w:t>
            </w:r>
          </w:p>
        </w:tc>
      </w:tr>
      <w:tr w:rsidR="005D72A0" w:rsidRPr="00822DE8" w14:paraId="6B48343A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CEE41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4  Reviewer 1</w:t>
            </w:r>
            <w:r w:rsidRPr="00822DE8">
              <w:br/>
              <w:t>Short sample period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D0CA0" w14:textId="77777777" w:rsidR="005D72A0" w:rsidRPr="00822DE8" w:rsidRDefault="00000000">
            <w:pPr>
              <w:spacing w:after="40" w:line="245" w:lineRule="auto"/>
            </w:pPr>
            <w:r w:rsidRPr="00822DE8">
              <w:t>Section 6</w:t>
            </w:r>
            <w:r w:rsidRPr="00822DE8">
              <w:br/>
              <w:t>PDF p. 43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A4E3C" w14:textId="07E5B334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 xml:space="preserve">Implemented </w:t>
            </w:r>
            <w:r w:rsidR="00822DE8">
              <w:rPr>
                <w:b/>
              </w:rPr>
              <w:t>roughly as proposed</w:t>
            </w:r>
          </w:p>
        </w:tc>
      </w:tr>
      <w:tr w:rsidR="005D72A0" w:rsidRPr="00822DE8" w14:paraId="55C82E3E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88C81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5  Reviewer 2</w:t>
            </w:r>
            <w:r w:rsidRPr="00822DE8">
              <w:br/>
              <w:t>System size and Bitcoin spillovers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31F3B" w14:textId="77777777" w:rsidR="005D72A0" w:rsidRPr="00822DE8" w:rsidRDefault="00000000">
            <w:pPr>
              <w:spacing w:after="40" w:line="245" w:lineRule="auto"/>
            </w:pPr>
            <w:r w:rsidRPr="00822DE8">
              <w:t>Section 3.2, PDF p. 18</w:t>
            </w:r>
            <w:r w:rsidRPr="00822DE8">
              <w:br/>
              <w:t>Section 5.2, PDF pp. 26-28</w:t>
            </w:r>
            <w:r w:rsidRPr="00822DE8">
              <w:br/>
              <w:t>Table 4 Panel C, PDF p. 27</w:t>
            </w:r>
            <w:r w:rsidRPr="00822DE8">
              <w:br/>
              <w:t>Table 5, PDF p. 28</w:t>
            </w:r>
            <w:r w:rsidRPr="00822DE8">
              <w:br/>
              <w:t>Section 5.4.5, PDF pp. 37-39</w:t>
            </w:r>
            <w:r w:rsidRPr="00822DE8">
              <w:br/>
              <w:t>Figure 3, PDF p. 38; Table 9, PDF p. 39</w:t>
            </w:r>
            <w:r w:rsidRPr="00822DE8">
              <w:br/>
              <w:t>Section 6, PDF p. 40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209A1" w14:textId="0AA330B6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 xml:space="preserve">Implemented </w:t>
            </w:r>
            <w:r w:rsidR="00822DE8">
              <w:rPr>
                <w:b/>
              </w:rPr>
              <w:t>but with a slightly unexpected result:</w:t>
            </w:r>
            <w:r w:rsidRPr="00822DE8">
              <w:t xml:space="preserve"> Uses the proposed firms </w:t>
            </w:r>
            <w:proofErr w:type="gramStart"/>
            <w:r w:rsidRPr="00822DE8">
              <w:t>and  check</w:t>
            </w:r>
            <w:proofErr w:type="gramEnd"/>
            <w:r w:rsidRPr="00822DE8">
              <w:t xml:space="preserve">, </w:t>
            </w:r>
            <w:r w:rsidR="00822DE8">
              <w:t>but finds that the high TCI is not exclusive to the AI firms.</w:t>
            </w:r>
          </w:p>
        </w:tc>
      </w:tr>
      <w:tr w:rsidR="005D72A0" w:rsidRPr="00822DE8" w14:paraId="478DDE04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2E8AC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6  Reviewer 2</w:t>
            </w:r>
            <w:r w:rsidRPr="00822DE8">
              <w:br/>
              <w:t>EAIS and residualization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4FAC2" w14:textId="77777777" w:rsidR="005D72A0" w:rsidRPr="00822DE8" w:rsidRDefault="00000000">
            <w:pPr>
              <w:spacing w:after="40" w:line="245" w:lineRule="auto"/>
            </w:pPr>
            <w:r w:rsidRPr="00822DE8">
              <w:t>Section 3.1</w:t>
            </w:r>
            <w:r w:rsidRPr="00822DE8">
              <w:br/>
              <w:t>PDF pp. 16-17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4AA16" w14:textId="2CD3FDEC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As proposed.</w:t>
            </w:r>
            <w:r w:rsidRPr="00822DE8">
              <w:t xml:space="preserve"> </w:t>
            </w:r>
          </w:p>
        </w:tc>
      </w:tr>
      <w:tr w:rsidR="005D72A0" w:rsidRPr="00822DE8" w14:paraId="1C471155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B18FF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7  Reviewer 2</w:t>
            </w:r>
            <w:r w:rsidRPr="00822DE8">
              <w:br/>
              <w:t>Classifier validation and technology versus investor sentiment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AA46F" w14:textId="77777777" w:rsidR="005D72A0" w:rsidRPr="00822DE8" w:rsidRDefault="00000000">
            <w:pPr>
              <w:spacing w:after="40" w:line="245" w:lineRule="auto"/>
            </w:pPr>
            <w:r w:rsidRPr="00822DE8">
              <w:t>Section 2.7, PDF p. 12</w:t>
            </w:r>
            <w:r w:rsidRPr="00822DE8">
              <w:br/>
              <w:t>Section 3.1, PDF p. 15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32032" w14:textId="1FF549A9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 xml:space="preserve">Implemented </w:t>
            </w:r>
            <w:r w:rsidR="00822DE8">
              <w:rPr>
                <w:b/>
              </w:rPr>
              <w:t>as proposed.</w:t>
            </w:r>
          </w:p>
        </w:tc>
      </w:tr>
      <w:tr w:rsidR="005D72A0" w:rsidRPr="00822DE8" w14:paraId="2055D971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0A465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8  Reviewer 2</w:t>
            </w:r>
            <w:r w:rsidRPr="00822DE8">
              <w:br/>
              <w:t>Causality and same-day results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FB194" w14:textId="77777777" w:rsidR="005D72A0" w:rsidRPr="00822DE8" w:rsidRDefault="00000000">
            <w:pPr>
              <w:spacing w:after="40" w:line="245" w:lineRule="auto"/>
            </w:pPr>
            <w:r w:rsidRPr="00822DE8">
              <w:t>Section 5.3, PDF pp. 30-34</w:t>
            </w:r>
            <w:r w:rsidRPr="00822DE8">
              <w:br/>
              <w:t>Section 6, PDF pp. 40-41</w:t>
            </w:r>
            <w:r w:rsidRPr="00822DE8">
              <w:br/>
              <w:t>Table A8, PDF p. 54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C2A0C" w14:textId="6348723C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t>Implemented with scope limits.</w:t>
            </w:r>
            <w:r w:rsidRPr="00822DE8">
              <w:t xml:space="preserve"> Adds the Granger tests and targeted causal-language edits in Results and Discussion. Stronger causal or speculative claims remain in the abstract and earlier sections. </w:t>
            </w:r>
          </w:p>
        </w:tc>
      </w:tr>
      <w:tr w:rsidR="005D72A0" w14:paraId="64FDA9A4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377AE" w14:textId="77777777" w:rsidR="005D72A0" w:rsidRPr="00822DE8" w:rsidRDefault="00000000">
            <w:pPr>
              <w:spacing w:after="40" w:line="245" w:lineRule="auto"/>
            </w:pPr>
            <w:r w:rsidRPr="00822DE8">
              <w:rPr>
                <w:b/>
              </w:rPr>
              <w:lastRenderedPageBreak/>
              <w:t>9  Reviewer 2</w:t>
            </w:r>
            <w:r w:rsidRPr="00822DE8">
              <w:br/>
              <w:t>Raw sentiment robustness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30776" w14:textId="77777777" w:rsidR="005D72A0" w:rsidRPr="00822DE8" w:rsidRDefault="00000000">
            <w:pPr>
              <w:spacing w:after="40" w:line="245" w:lineRule="auto"/>
            </w:pPr>
            <w:r w:rsidRPr="00822DE8">
              <w:t>Section 5.4.1, PDF p. 35</w:t>
            </w:r>
            <w:r w:rsidRPr="00822DE8">
              <w:br/>
              <w:t>Section 5.4.3, PDF p. 36</w:t>
            </w:r>
            <w:r w:rsidRPr="00822DE8">
              <w:br/>
              <w:t>Section 6, PDF pp. 41-42</w:t>
            </w:r>
          </w:p>
        </w:tc>
        <w:tc>
          <w:tcPr>
            <w:tcW w:w="7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1E4A7" w14:textId="09FF4CAB" w:rsidR="005D72A0" w:rsidRDefault="00822DE8">
            <w:pPr>
              <w:spacing w:after="40" w:line="245" w:lineRule="auto"/>
            </w:pPr>
            <w:r>
              <w:rPr>
                <w:b/>
              </w:rPr>
              <w:t>Implemented with a similar explanation as proposed:</w:t>
            </w:r>
            <w:r w:rsidR="00000000" w:rsidRPr="00822DE8">
              <w:t xml:space="preserve"> Treat AIS-EAIS divergence as sensitivity to filtering, not validation of a purified speculative component. </w:t>
            </w:r>
          </w:p>
        </w:tc>
      </w:tr>
    </w:tbl>
    <w:p w14:paraId="7261E3A6" w14:textId="5BC11435" w:rsidR="005D72A0" w:rsidRDefault="005D72A0">
      <w:pPr>
        <w:spacing w:before="140"/>
      </w:pPr>
    </w:p>
    <w:sectPr w:rsidR="005D72A0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378490">
    <w:abstractNumId w:val="8"/>
  </w:num>
  <w:num w:numId="2" w16cid:durableId="1157499133">
    <w:abstractNumId w:val="6"/>
  </w:num>
  <w:num w:numId="3" w16cid:durableId="1117069964">
    <w:abstractNumId w:val="5"/>
  </w:num>
  <w:num w:numId="4" w16cid:durableId="1735347039">
    <w:abstractNumId w:val="4"/>
  </w:num>
  <w:num w:numId="5" w16cid:durableId="2074697774">
    <w:abstractNumId w:val="7"/>
  </w:num>
  <w:num w:numId="6" w16cid:durableId="1239246663">
    <w:abstractNumId w:val="3"/>
  </w:num>
  <w:num w:numId="7" w16cid:durableId="990914248">
    <w:abstractNumId w:val="2"/>
  </w:num>
  <w:num w:numId="8" w16cid:durableId="1068530280">
    <w:abstractNumId w:val="1"/>
  </w:num>
  <w:num w:numId="9" w16cid:durableId="7968706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72A0"/>
    <w:rsid w:val="00822DE8"/>
    <w:rsid w:val="00AA1D8D"/>
    <w:rsid w:val="00B47730"/>
    <w:rsid w:val="00BC07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32837"/>
  <w14:defaultImageDpi w14:val="300"/>
  <w15:docId w15:val="{81A9D39B-0AAB-8E46-A85B-3C2157B3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Reviewer feedback implementation summary</dc:title>
  <dc:subject>Locations and implementation of the nine feedback points</dc:subject>
  <dc:creator>Boaz Muller</dc:creator>
  <cp:keywords/>
  <dc:description>generated by python-docx</dc:description>
  <cp:lastModifiedBy>Boaz Muller</cp:lastModifiedBy>
  <cp:revision>2</cp:revision>
  <dcterms:created xsi:type="dcterms:W3CDTF">2026-10-06T22:19:00Z</dcterms:created>
  <dcterms:modified xsi:type="dcterms:W3CDTF">2026-10-06T22:19:00Z</dcterms:modified>
  <cp:category/>
</cp:coreProperties>
</file>