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4A68EBB1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822C9B">
        <w:rPr>
          <w:rFonts w:ascii="나눔고딕" w:eastAsia="나눔고딕" w:hAnsi="나눔고딕"/>
          <w:position w:val="-10"/>
          <w:szCs w:val="20"/>
        </w:rPr>
        <w:t>07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822C9B">
        <w:rPr>
          <w:rFonts w:ascii="나눔고딕" w:eastAsia="나눔고딕" w:hAnsi="나눔고딕"/>
          <w:position w:val="-10"/>
          <w:szCs w:val="20"/>
        </w:rPr>
        <w:t>03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822C9B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A8E6BA6" w14:textId="77777777" w:rsidR="00BC455D" w:rsidRDefault="00585261" w:rsidP="00585261">
            <w:pPr>
              <w:widowControl/>
              <w:wordWrap/>
              <w:autoSpaceDE/>
              <w:autoSpaceDN/>
            </w:pPr>
            <w:r w:rsidRPr="00585261">
              <w:rPr>
                <w:rFonts w:hint="eastAsia"/>
              </w:rPr>
              <w:t>김종영,</w:t>
            </w:r>
            <w:r w:rsidRPr="00585261">
              <w:t xml:space="preserve"> </w:t>
            </w:r>
            <w:r w:rsidRPr="00585261">
              <w:rPr>
                <w:rFonts w:hint="eastAsia"/>
              </w:rPr>
              <w:t>구글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TensorFlow 소개</w:t>
            </w:r>
            <w:r w:rsidRPr="00585261">
              <w:t xml:space="preserve"> </w:t>
            </w:r>
          </w:p>
          <w:p w14:paraId="3AF80D7B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</w:pPr>
            <w:r w:rsidRPr="00585261">
              <w:rPr>
                <w:rFonts w:hint="eastAsia"/>
              </w:rPr>
              <w:t xml:space="preserve">○ TensorFlow </w:t>
            </w:r>
          </w:p>
          <w:p w14:paraId="5929FF59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확장성: </w:t>
            </w:r>
            <w:bookmarkStart w:id="0" w:name="_GoBack"/>
            <w:bookmarkEnd w:id="0"/>
            <w:r w:rsidRPr="00585261">
              <w:rPr>
                <w:rFonts w:hint="eastAsia"/>
              </w:rPr>
              <w:t>TensorFlow에서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행렬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계산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및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comvolution은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심볼릭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그래프를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이용하여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수행하며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복잡한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신경망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구조를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역전파(back-propagation) 구현에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구애받지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않고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만드는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것이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가능. 현재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그래프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상에서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반복, 조건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분기와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같은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기능은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구현되어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있지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않은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상태. 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점은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RNN (Recurrent Neural Network)을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파이썬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어가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제공하는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반복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메커니즘을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사용해야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한다는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점과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그래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컴파일러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최적화를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없다는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점에서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단점으로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작용</w:t>
            </w:r>
            <w:r w:rsidRPr="00585261">
              <w:rPr>
                <w:rFonts w:hint="eastAsia"/>
              </w:rPr>
              <w:t> </w:t>
            </w:r>
          </w:p>
          <w:p w14:paraId="3B35E71A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-인터페이스: 파이썬과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C/C++ 언어를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기본적으로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제공, 이는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네이티브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코드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또는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속도가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중요시되는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환경에서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장점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작용</w:t>
            </w:r>
          </w:p>
          <w:p w14:paraId="1DEFAE42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-범용성: ARM 아키텍처에서도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가능, 이는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단말에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서버에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이르기까지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다양하게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있음을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의미. 마이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크로소프트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윈도우는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현재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미지원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상태임. </w:t>
            </w:r>
          </w:p>
          <w:p w14:paraId="0EFCDD57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-성능: cuDNN v2(NVIDIA) 기준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Torch에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비해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1.5배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느린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성능을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보이며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배치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사이즈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128 GoogleNet의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경우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모리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부족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현상을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보임. </w:t>
            </w:r>
          </w:p>
          <w:p w14:paraId="15C41166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-다중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GPU 지원: GPU에서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CPU로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메모리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전송, 다수의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GPU상에서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얻어진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결과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취합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등이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비교적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용이함. 분산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레이닝은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향후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포함될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예정임</w:t>
            </w:r>
            <w:r w:rsidRPr="00585261">
              <w:rPr>
                <w:rFonts w:hint="eastAsia"/>
              </w:rPr>
              <w:t> </w:t>
            </w:r>
          </w:p>
          <w:p w14:paraId="1DDC31C6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디버깅: TensorBoard룰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사용하여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변수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추적이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용이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하도록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설계되어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있음. </w:t>
            </w:r>
          </w:p>
          <w:p w14:paraId="236E49DB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</w:p>
          <w:p w14:paraId="591410A0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</w:pPr>
            <w:r w:rsidRPr="00585261">
              <w:rPr>
                <w:rFonts w:hint="eastAsia"/>
              </w:rPr>
              <w:lastRenderedPageBreak/>
              <w:t xml:space="preserve">○ Theano </w:t>
            </w:r>
          </w:p>
          <w:p w14:paraId="71CEC18F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확장성: 거의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대부분의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학습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알고리즘이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구현되어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있으며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심볼릭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그래프를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계산에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도입한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흐름을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만든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사례에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해당. scan이라는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반복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메커니즘을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제공하는데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이는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RNN 구현에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장점으로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작용. 사용자는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이미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만들어져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있는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tensor 연산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프레임워크를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사용하면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되기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때문에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정의와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학습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단순함</w:t>
            </w:r>
            <w:r w:rsidRPr="00585261">
              <w:rPr>
                <w:rFonts w:hint="eastAsia"/>
              </w:rPr>
              <w:t> </w:t>
            </w:r>
          </w:p>
          <w:p w14:paraId="23E47952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-인터페이스: 파이썬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언어만을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지원</w:t>
            </w:r>
            <w:r w:rsidRPr="00585261">
              <w:rPr>
                <w:rFonts w:hint="eastAsia"/>
              </w:rPr>
              <w:t> </w:t>
            </w:r>
          </w:p>
          <w:p w14:paraId="0F0F07B3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-범용성: 네이티브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언어를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지원하지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않으며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파이썬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인터프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리터의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비효율성으로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인해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산업계에서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그다지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많이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사용되지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않음. </w:t>
            </w:r>
          </w:p>
          <w:p w14:paraId="4EA70763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-성능: 대규모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네트워크의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경우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Torch7과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동일한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성능을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보임, 하지만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C/CUDA 코드를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컴파일해서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바이너리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코드롤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12 한국컴퓨터정보학회지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만들어내는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시간이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오래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걸림</w:t>
            </w:r>
            <w:r w:rsidRPr="00585261">
              <w:rPr>
                <w:rFonts w:hint="eastAsia"/>
              </w:rPr>
              <w:t> </w:t>
            </w:r>
          </w:p>
          <w:p w14:paraId="78D344FE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-다중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GPU 지원: 네이티브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코드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상에서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지원은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하지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않음. 개발자는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로우레벨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프로그래밍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관점에서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직접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구현해야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함</w:t>
            </w:r>
            <w:r w:rsidRPr="00585261">
              <w:rPr>
                <w:rFonts w:hint="eastAsia"/>
              </w:rPr>
              <w:t> </w:t>
            </w:r>
          </w:p>
          <w:p w14:paraId="5C0AB0EB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디버깅: 없음</w:t>
            </w:r>
            <w:r w:rsidRPr="00585261">
              <w:rPr>
                <w:rFonts w:hint="eastAsia"/>
              </w:rPr>
              <w:t> </w:t>
            </w:r>
          </w:p>
          <w:p w14:paraId="21320FE6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</w:pPr>
            <w:r w:rsidRPr="00585261">
              <w:rPr>
                <w:rFonts w:hint="eastAsia"/>
              </w:rPr>
              <w:t xml:space="preserve">○ Torch </w:t>
            </w:r>
          </w:p>
          <w:p w14:paraId="1898ACF2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확장성: convolutional 신경망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우수함, 특히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temporal convolution의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경우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직관적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용이함. 새로운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레이어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타입을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정의하는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경우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사용자는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포워드, 백워드, 그래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디언트(gradient) 입력의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갱신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모듈을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모두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구현해야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함. </w:t>
            </w:r>
          </w:p>
          <w:p w14:paraId="342F70D8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-인터페이스: LuaJIT 환경을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기반으로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실행되며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사용자는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심볼릭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프로그래밍에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대한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부담이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 xml:space="preserve">없음. </w:t>
            </w:r>
          </w:p>
          <w:p w14:paraId="1B08D966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-범용성: LuaJIT 환경에서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실행되므로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API 수분에서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다른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요소와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통합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작업이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용이하지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않음</w:t>
            </w:r>
            <w:r w:rsidRPr="00585261">
              <w:rPr>
                <w:rFonts w:hint="eastAsia"/>
              </w:rPr>
              <w:t> </w:t>
            </w:r>
          </w:p>
          <w:p w14:paraId="3D88EA1B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t>-성능: 가장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나은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성능을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보임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-</w:t>
            </w:r>
          </w:p>
          <w:p w14:paraId="4889F5A9" w14:textId="77777777" w:rsidR="00585261" w:rsidRPr="00585261" w:rsidRDefault="00585261" w:rsidP="00585261">
            <w:pPr>
              <w:widowControl/>
              <w:wordWrap/>
              <w:autoSpaceDE/>
              <w:autoSpaceDN/>
              <w:spacing w:line="384" w:lineRule="auto"/>
              <w:ind w:firstLine="280"/>
            </w:pPr>
            <w:r w:rsidRPr="00585261">
              <w:rPr>
                <w:rFonts w:hint="eastAsia"/>
              </w:rPr>
              <w:lastRenderedPageBreak/>
              <w:t>다중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GPU 지원: TensorFlow와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Theano의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중간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단계임</w:t>
            </w:r>
            <w:r w:rsidRPr="00585261">
              <w:rPr>
                <w:rFonts w:hint="eastAsia"/>
              </w:rPr>
              <w:t> </w:t>
            </w:r>
          </w:p>
          <w:p w14:paraId="6FA224CA" w14:textId="77777777" w:rsidR="00585261" w:rsidRPr="00585261" w:rsidRDefault="00585261" w:rsidP="00585261">
            <w:pPr>
              <w:widowControl/>
              <w:wordWrap/>
              <w:autoSpaceDE/>
              <w:autoSpaceDN/>
              <w:jc w:val="left"/>
            </w:pPr>
            <w:r w:rsidRPr="00585261">
              <w:rPr>
                <w:rFonts w:hint="eastAsia"/>
              </w:rPr>
              <w:t>-모델</w:t>
            </w:r>
            <w:r w:rsidRPr="00585261">
              <w:rPr>
                <w:rFonts w:hint="eastAsia"/>
              </w:rPr>
              <w:t> </w:t>
            </w:r>
            <w:r w:rsidRPr="00585261">
              <w:rPr>
                <w:rFonts w:hint="eastAsia"/>
              </w:rPr>
              <w:t>디버깅: 없음</w:t>
            </w:r>
            <w:r w:rsidRPr="00585261">
              <w:rPr>
                <w:rFonts w:hint="eastAsia"/>
              </w:rPr>
              <w:t> </w:t>
            </w:r>
            <w:r w:rsidRPr="00585261">
              <w:t xml:space="preserve"> </w:t>
            </w:r>
          </w:p>
          <w:p w14:paraId="2409DD9B" w14:textId="061479B9" w:rsidR="00585261" w:rsidRPr="00585261" w:rsidRDefault="00585261" w:rsidP="00585261">
            <w:pPr>
              <w:widowControl/>
              <w:wordWrap/>
              <w:autoSpaceDE/>
              <w:autoSpaceDN/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4E93" w14:textId="77777777" w:rsidR="004F751B" w:rsidRDefault="004F751B" w:rsidP="001B3719">
      <w:r>
        <w:separator/>
      </w:r>
    </w:p>
  </w:endnote>
  <w:endnote w:type="continuationSeparator" w:id="0">
    <w:p w14:paraId="1B221F7A" w14:textId="77777777" w:rsidR="004F751B" w:rsidRDefault="004F751B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51F3E" w14:textId="77777777" w:rsidR="004F751B" w:rsidRDefault="004F751B" w:rsidP="001B3719">
      <w:r>
        <w:separator/>
      </w:r>
    </w:p>
  </w:footnote>
  <w:footnote w:type="continuationSeparator" w:id="0">
    <w:p w14:paraId="65B8BFB5" w14:textId="77777777" w:rsidR="004F751B" w:rsidRDefault="004F751B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4F751B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2C9B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32E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76205-EA92-4904-AB8B-EA372C7A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2017-09-20T11:38:00Z</dcterms:created>
  <dcterms:modified xsi:type="dcterms:W3CDTF">2017-09-20T12:07:00Z</dcterms:modified>
</cp:coreProperties>
</file>