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8899a8"/>
          <w:sz w:val="24"/>
          <w:szCs w:val="24"/>
          <w:highlight w:val="white"/>
        </w:rPr>
      </w:pPr>
      <w:hyperlink r:id="rId6">
        <w:r w:rsidDel="00000000" w:rsidR="00000000" w:rsidRPr="00000000">
          <w:rPr>
            <w:color w:val="1155cc"/>
            <w:u w:val="single"/>
            <w:rtl w:val="0"/>
          </w:rPr>
          <w:t xml:space="preserve">Welcome - Developer Docs (gnosis-safe.io)</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3b454e"/>
          <w:sz w:val="72"/>
          <w:szCs w:val="72"/>
          <w:highlight w:val="white"/>
        </w:rPr>
      </w:pPr>
      <w:r w:rsidDel="00000000" w:rsidR="00000000" w:rsidRPr="00000000">
        <w:rPr>
          <w:b w:val="1"/>
          <w:color w:val="3b454e"/>
          <w:sz w:val="72"/>
          <w:szCs w:val="72"/>
          <w:highlight w:val="white"/>
          <w:rtl w:val="0"/>
        </w:rPr>
        <w:t xml:space="preserve">Welcome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b w:val="1"/>
          <w:color w:val="3b454e"/>
          <w:sz w:val="72"/>
          <w:szCs w:val="72"/>
          <w:highlight w:val="white"/>
          <w:rtl w:val="0"/>
        </w:rPr>
        <w:t xml:space="preserve">欢迎</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8899a8"/>
          <w:sz w:val="24"/>
          <w:szCs w:val="24"/>
          <w:highlight w:val="white"/>
        </w:rPr>
      </w:pPr>
      <w:r w:rsidDel="00000000" w:rsidR="00000000" w:rsidRPr="00000000">
        <w:rPr>
          <w:color w:val="8899a8"/>
          <w:sz w:val="24"/>
          <w:szCs w:val="24"/>
          <w:highlight w:val="white"/>
          <w:rtl w:val="0"/>
        </w:rPr>
        <w:t xml:space="preserve">Build on the Safe infrastructure: take advantage of the most modular, flexible, and secure wallet and identity solution in Ethereum.</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color w:val="8899a8"/>
          <w:sz w:val="24"/>
          <w:szCs w:val="24"/>
          <w:highlight w:val="white"/>
          <w:rtl w:val="0"/>
        </w:rPr>
        <w:t xml:space="preserve">建立在 Safe 基础设施之上：利用以太坊中最模块化、最灵活、最安全的钱包和身份识别解决方案。</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Safe developer docs aim to provide an overview of the Safe smart contracts, interfaces and integrations.</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Safe 开发者文档旨在提供 Safe 智能合约、接口和集成的概述。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a place where you can explore different use cases, as well as detailed tutorials on how to make use of our stack, add more security to managing funds on Ethereum and interact with the decentralized web.</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在这里，您可以探索不同的使用案例，以及有关如何使用我们的堆栈的详细教程，为管理以太坊上的资金增加更多安全性以及与去中心化网络进行交互。</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nosis-saf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