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EAC" w:rsidRDefault="00E940DB">
      <w:pPr>
        <w:rPr>
          <w:b/>
          <w:u w:val="single"/>
        </w:rPr>
      </w:pPr>
      <w:proofErr w:type="spellStart"/>
      <w:r>
        <w:rPr>
          <w:b/>
          <w:u w:val="single"/>
        </w:rPr>
        <w:t>Agspring</w:t>
      </w:r>
      <w:proofErr w:type="spellEnd"/>
      <w:r w:rsidR="00BB4EAC">
        <w:rPr>
          <w:b/>
          <w:u w:val="single"/>
        </w:rPr>
        <w:t xml:space="preserve"> Standard SSIS ETL Development Package</w:t>
      </w:r>
    </w:p>
    <w:p w:rsidR="00BB4EAC" w:rsidRDefault="00BB4EAC">
      <w:pPr>
        <w:rPr>
          <w:b/>
          <w:u w:val="single"/>
        </w:rPr>
      </w:pPr>
    </w:p>
    <w:p w:rsidR="00BB4EAC" w:rsidRPr="00BB4EAC" w:rsidRDefault="00AF21CE">
      <w:r>
        <w:t xml:space="preserve">To ease development </w:t>
      </w:r>
      <w:proofErr w:type="spellStart"/>
      <w:r w:rsidR="00E940DB">
        <w:t>Agspring</w:t>
      </w:r>
      <w:proofErr w:type="spellEnd"/>
      <w:r>
        <w:t xml:space="preserve"> has</w:t>
      </w:r>
      <w:r w:rsidR="00BB4EAC">
        <w:t xml:space="preserve"> a standard t</w:t>
      </w:r>
      <w:r>
        <w:t>emplate so developers can focus on business logic and not worry about the details of logging. Additionally, the standard package allows ease of promotion from development to production without significant changes to the package itself.</w:t>
      </w:r>
    </w:p>
    <w:p w:rsidR="00BB4EAC" w:rsidRDefault="00BB4EAC">
      <w:pPr>
        <w:rPr>
          <w:b/>
          <w:u w:val="single"/>
        </w:rPr>
      </w:pPr>
    </w:p>
    <w:p w:rsidR="00AC77A1" w:rsidRDefault="00AC77A1">
      <w:pPr>
        <w:rPr>
          <w:b/>
          <w:u w:val="single"/>
        </w:rPr>
      </w:pPr>
      <w:r>
        <w:rPr>
          <w:b/>
          <w:u w:val="single"/>
        </w:rPr>
        <w:t>Working with the sample package</w:t>
      </w:r>
    </w:p>
    <w:p w:rsidR="00AC77A1" w:rsidRDefault="00AC77A1">
      <w:pPr>
        <w:rPr>
          <w:b/>
          <w:u w:val="single"/>
        </w:rPr>
      </w:pPr>
    </w:p>
    <w:p w:rsidR="00AC77A1" w:rsidRDefault="00C84663">
      <w:pPr>
        <w:rPr>
          <w:u w:val="single"/>
        </w:rPr>
      </w:pPr>
      <w:r>
        <w:rPr>
          <w:u w:val="single"/>
        </w:rPr>
        <w:t>Package Properties</w:t>
      </w:r>
    </w:p>
    <w:p w:rsidR="00C84663" w:rsidRDefault="00C84663">
      <w:pPr>
        <w:rPr>
          <w:u w:val="single"/>
        </w:rPr>
      </w:pPr>
    </w:p>
    <w:p w:rsidR="00C84663" w:rsidRPr="00C84663" w:rsidRDefault="00C84663">
      <w:r>
        <w:t>When you start a new project follow these steps:</w:t>
      </w:r>
    </w:p>
    <w:p w:rsidR="00C84663" w:rsidRDefault="00C84663"/>
    <w:p w:rsidR="00BD445D" w:rsidRDefault="00BD445D" w:rsidP="00C84663">
      <w:pPr>
        <w:pStyle w:val="ListParagraph"/>
        <w:numPr>
          <w:ilvl w:val="0"/>
          <w:numId w:val="1"/>
        </w:numPr>
      </w:pPr>
      <w:r>
        <w:t xml:space="preserve">Create a new solution and add the existing template </w:t>
      </w:r>
      <w:proofErr w:type="spellStart"/>
      <w:r w:rsidR="00E940DB">
        <w:t>AgspringETLTemplate</w:t>
      </w:r>
      <w:r>
        <w:t>.dtsx</w:t>
      </w:r>
      <w:proofErr w:type="spellEnd"/>
    </w:p>
    <w:p w:rsidR="006F2375" w:rsidRDefault="00553684" w:rsidP="00C84663">
      <w:pPr>
        <w:pStyle w:val="ListParagraph"/>
        <w:numPr>
          <w:ilvl w:val="0"/>
          <w:numId w:val="1"/>
        </w:numPr>
      </w:pPr>
      <w:r>
        <w:t>In package properties click ID and select generate new ID.</w:t>
      </w:r>
    </w:p>
    <w:p w:rsidR="00C84663" w:rsidRDefault="00C84663" w:rsidP="00C84663">
      <w:pPr>
        <w:pStyle w:val="ListParagraph"/>
        <w:numPr>
          <w:ilvl w:val="0"/>
          <w:numId w:val="1"/>
        </w:numPr>
      </w:pPr>
      <w:r>
        <w:t xml:space="preserve">Change the </w:t>
      </w:r>
      <w:proofErr w:type="spellStart"/>
      <w:r>
        <w:t>CreationDate</w:t>
      </w:r>
      <w:proofErr w:type="spellEnd"/>
      <w:r>
        <w:t xml:space="preserve"> to today’s date.</w:t>
      </w:r>
    </w:p>
    <w:p w:rsidR="00C84663" w:rsidRDefault="00C84663" w:rsidP="00C84663">
      <w:pPr>
        <w:pStyle w:val="ListParagraph"/>
        <w:numPr>
          <w:ilvl w:val="0"/>
          <w:numId w:val="1"/>
        </w:numPr>
      </w:pPr>
      <w:r>
        <w:t xml:space="preserve">Change the </w:t>
      </w:r>
      <w:proofErr w:type="spellStart"/>
      <w:r>
        <w:t>CreatorComputerName</w:t>
      </w:r>
      <w:proofErr w:type="spellEnd"/>
      <w:r>
        <w:t xml:space="preserve"> to your computer.</w:t>
      </w:r>
    </w:p>
    <w:p w:rsidR="00C84663" w:rsidRDefault="00C84663" w:rsidP="00C84663">
      <w:pPr>
        <w:pStyle w:val="ListParagraph"/>
        <w:numPr>
          <w:ilvl w:val="0"/>
          <w:numId w:val="1"/>
        </w:numPr>
      </w:pPr>
      <w:r>
        <w:t xml:space="preserve">Change the </w:t>
      </w:r>
      <w:proofErr w:type="spellStart"/>
      <w:r>
        <w:t>CreatorName</w:t>
      </w:r>
      <w:proofErr w:type="spellEnd"/>
      <w:r>
        <w:t xml:space="preserve"> to your name.</w:t>
      </w:r>
    </w:p>
    <w:p w:rsidR="00C84663" w:rsidRDefault="00C84663" w:rsidP="00C84663">
      <w:pPr>
        <w:pStyle w:val="ListParagraph"/>
        <w:numPr>
          <w:ilvl w:val="0"/>
          <w:numId w:val="1"/>
        </w:numPr>
      </w:pPr>
      <w:r>
        <w:t xml:space="preserve">Fill in the </w:t>
      </w:r>
      <w:proofErr w:type="spellStart"/>
      <w:r>
        <w:t>VersionComments</w:t>
      </w:r>
      <w:proofErr w:type="spellEnd"/>
      <w:r>
        <w:t xml:space="preserve">, </w:t>
      </w:r>
      <w:proofErr w:type="spellStart"/>
      <w:r>
        <w:t>VersionMajor</w:t>
      </w:r>
      <w:proofErr w:type="spellEnd"/>
      <w:r>
        <w:t xml:space="preserve">, and </w:t>
      </w:r>
      <w:proofErr w:type="spellStart"/>
      <w:r>
        <w:t>VersionMinor</w:t>
      </w:r>
      <w:proofErr w:type="spellEnd"/>
      <w:r>
        <w:t>.</w:t>
      </w:r>
    </w:p>
    <w:p w:rsidR="00C84663" w:rsidRDefault="00C84663"/>
    <w:p w:rsidR="00C84663" w:rsidRDefault="00C84663"/>
    <w:p w:rsidR="00E22986" w:rsidRDefault="00E22986">
      <w:r>
        <w:rPr>
          <w:noProof/>
        </w:rPr>
        <w:drawing>
          <wp:inline distT="0" distB="0" distL="0" distR="0" wp14:anchorId="2AD9F42F" wp14:editId="06796F24">
            <wp:extent cx="2318479" cy="2471397"/>
            <wp:effectExtent l="0" t="0" r="5715" b="5715"/>
            <wp:docPr id="1" name="Picture 1" descr="C:\Users\Bob\Desktop\C2FO Work\change 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Desktop\C2FO Work\change I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8560" cy="2471483"/>
                    </a:xfrm>
                    <a:prstGeom prst="rect">
                      <a:avLst/>
                    </a:prstGeom>
                    <a:noFill/>
                    <a:ln>
                      <a:noFill/>
                    </a:ln>
                  </pic:spPr>
                </pic:pic>
              </a:graphicData>
            </a:graphic>
          </wp:inline>
        </w:drawing>
      </w:r>
    </w:p>
    <w:p w:rsidR="00E22986" w:rsidRDefault="00C84663">
      <w:r>
        <w:t>Figure 1. Change package ID.</w:t>
      </w:r>
    </w:p>
    <w:p w:rsidR="00553684" w:rsidRDefault="00553684"/>
    <w:p w:rsidR="00E76770" w:rsidRDefault="00E76770"/>
    <w:p w:rsidR="00C84663" w:rsidRDefault="00C84663" w:rsidP="00C84663"/>
    <w:p w:rsidR="00EE6192" w:rsidRDefault="00EE6192" w:rsidP="00C84663"/>
    <w:p w:rsidR="00EE6192" w:rsidRDefault="00EE6192" w:rsidP="00C84663"/>
    <w:p w:rsidR="00EE6192" w:rsidRDefault="00EE6192" w:rsidP="00C84663"/>
    <w:p w:rsidR="00EE6192" w:rsidRDefault="00EE6192" w:rsidP="00C84663"/>
    <w:p w:rsidR="00EE6192" w:rsidRDefault="00EE6192" w:rsidP="00C84663"/>
    <w:p w:rsidR="00EE6192" w:rsidRDefault="00EE6192" w:rsidP="00C84663"/>
    <w:p w:rsidR="00631BB2" w:rsidRDefault="00631BB2"/>
    <w:p w:rsidR="00C84663" w:rsidRPr="00890B93" w:rsidRDefault="00C84663">
      <w:r w:rsidRPr="00C84663">
        <w:rPr>
          <w:u w:val="single"/>
        </w:rPr>
        <w:lastRenderedPageBreak/>
        <w:t>Package Variables</w:t>
      </w:r>
    </w:p>
    <w:p w:rsidR="00C84663" w:rsidRDefault="00C84663"/>
    <w:p w:rsidR="00542160" w:rsidRDefault="00542160">
      <w:r>
        <w:t>If you have a variable that you want to track</w:t>
      </w:r>
      <w:r w:rsidR="00C84663">
        <w:t>,</w:t>
      </w:r>
      <w:r>
        <w:t xml:space="preserve"> set that variable</w:t>
      </w:r>
      <w:r w:rsidR="009A3793">
        <w:t>’</w:t>
      </w:r>
      <w:r>
        <w:t xml:space="preserve">s raise change event </w:t>
      </w:r>
      <w:r w:rsidR="00EE6192">
        <w:t>property</w:t>
      </w:r>
      <w:r>
        <w:t xml:space="preserve"> to true.</w:t>
      </w:r>
    </w:p>
    <w:p w:rsidR="007C2C61" w:rsidRDefault="007C2C61"/>
    <w:p w:rsidR="007C2C61" w:rsidRDefault="007C2C61">
      <w:r>
        <w:t>It is important that you do NOT delete</w:t>
      </w:r>
      <w:r w:rsidR="00EE6192">
        <w:t xml:space="preserve"> any of the existing variables with the exception of</w:t>
      </w:r>
      <w:r w:rsidR="00987401">
        <w:t xml:space="preserve"> intVariable2 and strVariable1. Those variables are place holders for package configurations. If you have configurations, you can replace them. If you do not, they need to stay or in the alternative, you can delete the Import Configurations task which is not advised.</w:t>
      </w:r>
    </w:p>
    <w:p w:rsidR="004D1498" w:rsidRDefault="004D1498"/>
    <w:p w:rsidR="00050E35" w:rsidRPr="005C68B4" w:rsidRDefault="005C68B4">
      <w:pPr>
        <w:rPr>
          <w:u w:val="single"/>
        </w:rPr>
      </w:pPr>
      <w:r>
        <w:rPr>
          <w:u w:val="single"/>
        </w:rPr>
        <w:t>Task</w:t>
      </w:r>
    </w:p>
    <w:p w:rsidR="005C68B4" w:rsidRDefault="005C68B4"/>
    <w:p w:rsidR="006B0D7E" w:rsidRDefault="006B0D7E">
      <w:r>
        <w:t xml:space="preserve">You </w:t>
      </w:r>
      <w:r w:rsidR="00830E35">
        <w:t>can delete the SEQ Package Logic seque</w:t>
      </w:r>
      <w:bookmarkStart w:id="0" w:name="_GoBack"/>
      <w:bookmarkEnd w:id="0"/>
      <w:r w:rsidR="00830E35">
        <w:t xml:space="preserve">nce container BUT your control flow MUST begin and end with SQL </w:t>
      </w:r>
      <w:proofErr w:type="spellStart"/>
      <w:r w:rsidR="00830E35">
        <w:t>LogPackageStart</w:t>
      </w:r>
      <w:proofErr w:type="spellEnd"/>
      <w:r w:rsidR="00830E35">
        <w:t xml:space="preserve"> and SQL </w:t>
      </w:r>
      <w:proofErr w:type="spellStart"/>
      <w:r w:rsidR="00830E35">
        <w:t>LogPackageEnd</w:t>
      </w:r>
      <w:proofErr w:type="spellEnd"/>
      <w:r w:rsidR="00830E35">
        <w:t xml:space="preserve"> respectively.</w:t>
      </w:r>
    </w:p>
    <w:p w:rsidR="00E62B4B" w:rsidRDefault="00E62B4B"/>
    <w:p w:rsidR="00E62B4B" w:rsidRDefault="00631BB2">
      <w:pPr>
        <w:rPr>
          <w:b/>
          <w:u w:val="single"/>
        </w:rPr>
      </w:pPr>
      <w:r>
        <w:rPr>
          <w:b/>
          <w:u w:val="single"/>
        </w:rPr>
        <w:t xml:space="preserve">Querying </w:t>
      </w:r>
      <w:proofErr w:type="gramStart"/>
      <w:r>
        <w:rPr>
          <w:b/>
          <w:u w:val="single"/>
        </w:rPr>
        <w:t>The</w:t>
      </w:r>
      <w:proofErr w:type="gramEnd"/>
      <w:r>
        <w:rPr>
          <w:b/>
          <w:u w:val="single"/>
        </w:rPr>
        <w:t xml:space="preserve"> Logging Table</w:t>
      </w:r>
      <w:r w:rsidR="00B635FB">
        <w:rPr>
          <w:b/>
          <w:u w:val="single"/>
        </w:rPr>
        <w:t>s</w:t>
      </w:r>
    </w:p>
    <w:p w:rsidR="00631BB2" w:rsidRDefault="00631BB2">
      <w:pPr>
        <w:rPr>
          <w:b/>
          <w:u w:val="single"/>
        </w:rPr>
      </w:pPr>
    </w:p>
    <w:p w:rsidR="00631BB2" w:rsidRDefault="00631BB2">
      <w:r>
        <w:t>There are four stored procedures that you can use to trouble shoot your ETL solution.</w:t>
      </w:r>
    </w:p>
    <w:p w:rsidR="00631BB2" w:rsidRDefault="00631BB2" w:rsidP="00C602F6"/>
    <w:tbl>
      <w:tblPr>
        <w:tblW w:w="9880" w:type="dxa"/>
        <w:tblInd w:w="93" w:type="dxa"/>
        <w:tblLook w:val="04A0" w:firstRow="1" w:lastRow="0" w:firstColumn="1" w:lastColumn="0" w:noHBand="0" w:noVBand="1"/>
      </w:tblPr>
      <w:tblGrid>
        <w:gridCol w:w="1932"/>
        <w:gridCol w:w="1676"/>
        <w:gridCol w:w="2080"/>
        <w:gridCol w:w="4300"/>
      </w:tblGrid>
      <w:tr w:rsidR="00B635FB" w:rsidRPr="00B635FB" w:rsidTr="00B635FB">
        <w:trPr>
          <w:trHeight w:val="300"/>
        </w:trPr>
        <w:tc>
          <w:tcPr>
            <w:tcW w:w="1880" w:type="dxa"/>
            <w:tcBorders>
              <w:top w:val="nil"/>
              <w:left w:val="nil"/>
              <w:bottom w:val="single" w:sz="4" w:space="0" w:color="auto"/>
              <w:right w:val="nil"/>
            </w:tcBorders>
            <w:shd w:val="clear" w:color="auto" w:fill="auto"/>
            <w:noWrap/>
            <w:vAlign w:val="bottom"/>
            <w:hideMark/>
          </w:tcPr>
          <w:p w:rsidR="00B635FB" w:rsidRPr="00B635FB" w:rsidRDefault="00B635FB" w:rsidP="00B635FB">
            <w:pPr>
              <w:spacing w:after="0"/>
              <w:contextualSpacing w:val="0"/>
              <w:rPr>
                <w:rFonts w:ascii="Calibri" w:eastAsia="Times New Roman" w:hAnsi="Calibri" w:cs="Times New Roman"/>
                <w:b/>
                <w:bCs/>
                <w:color w:val="000000"/>
                <w:sz w:val="22"/>
              </w:rPr>
            </w:pPr>
            <w:r w:rsidRPr="00B635FB">
              <w:rPr>
                <w:rFonts w:ascii="Calibri" w:eastAsia="Times New Roman" w:hAnsi="Calibri" w:cs="Times New Roman"/>
                <w:b/>
                <w:bCs/>
                <w:color w:val="000000"/>
                <w:sz w:val="22"/>
              </w:rPr>
              <w:t>Procedure Name</w:t>
            </w:r>
          </w:p>
        </w:tc>
        <w:tc>
          <w:tcPr>
            <w:tcW w:w="1620" w:type="dxa"/>
            <w:tcBorders>
              <w:top w:val="nil"/>
              <w:left w:val="nil"/>
              <w:bottom w:val="single" w:sz="4" w:space="0" w:color="auto"/>
              <w:right w:val="nil"/>
            </w:tcBorders>
            <w:shd w:val="clear" w:color="auto" w:fill="auto"/>
            <w:noWrap/>
            <w:vAlign w:val="bottom"/>
            <w:hideMark/>
          </w:tcPr>
          <w:p w:rsidR="00B635FB" w:rsidRPr="00B635FB" w:rsidRDefault="00B635FB" w:rsidP="00B635FB">
            <w:pPr>
              <w:spacing w:after="0"/>
              <w:contextualSpacing w:val="0"/>
              <w:rPr>
                <w:rFonts w:ascii="Calibri" w:eastAsia="Times New Roman" w:hAnsi="Calibri" w:cs="Times New Roman"/>
                <w:b/>
                <w:bCs/>
                <w:color w:val="000000"/>
                <w:sz w:val="22"/>
              </w:rPr>
            </w:pPr>
            <w:r w:rsidRPr="00B635FB">
              <w:rPr>
                <w:rFonts w:ascii="Calibri" w:eastAsia="Times New Roman" w:hAnsi="Calibri" w:cs="Times New Roman"/>
                <w:b/>
                <w:bCs/>
                <w:color w:val="000000"/>
                <w:sz w:val="22"/>
              </w:rPr>
              <w:t>Parameter</w:t>
            </w:r>
          </w:p>
        </w:tc>
        <w:tc>
          <w:tcPr>
            <w:tcW w:w="2080" w:type="dxa"/>
            <w:tcBorders>
              <w:top w:val="nil"/>
              <w:left w:val="nil"/>
              <w:bottom w:val="single" w:sz="4" w:space="0" w:color="auto"/>
              <w:right w:val="nil"/>
            </w:tcBorders>
            <w:shd w:val="clear" w:color="auto" w:fill="auto"/>
            <w:noWrap/>
            <w:vAlign w:val="bottom"/>
            <w:hideMark/>
          </w:tcPr>
          <w:p w:rsidR="00B635FB" w:rsidRPr="00B635FB" w:rsidRDefault="00B635FB" w:rsidP="00B635FB">
            <w:pPr>
              <w:spacing w:after="0"/>
              <w:contextualSpacing w:val="0"/>
              <w:rPr>
                <w:rFonts w:ascii="Calibri" w:eastAsia="Times New Roman" w:hAnsi="Calibri" w:cs="Times New Roman"/>
                <w:b/>
                <w:bCs/>
                <w:color w:val="000000"/>
                <w:sz w:val="22"/>
              </w:rPr>
            </w:pPr>
            <w:r w:rsidRPr="00B635FB">
              <w:rPr>
                <w:rFonts w:ascii="Calibri" w:eastAsia="Times New Roman" w:hAnsi="Calibri" w:cs="Times New Roman"/>
                <w:b/>
                <w:bCs/>
                <w:color w:val="000000"/>
                <w:sz w:val="22"/>
              </w:rPr>
              <w:t>Parameter Data Type</w:t>
            </w:r>
          </w:p>
        </w:tc>
        <w:tc>
          <w:tcPr>
            <w:tcW w:w="4300" w:type="dxa"/>
            <w:tcBorders>
              <w:top w:val="nil"/>
              <w:left w:val="nil"/>
              <w:bottom w:val="single" w:sz="4" w:space="0" w:color="auto"/>
              <w:right w:val="nil"/>
            </w:tcBorders>
            <w:shd w:val="clear" w:color="auto" w:fill="auto"/>
            <w:noWrap/>
            <w:vAlign w:val="bottom"/>
            <w:hideMark/>
          </w:tcPr>
          <w:p w:rsidR="00B635FB" w:rsidRPr="00B635FB" w:rsidRDefault="00B635FB" w:rsidP="00B635FB">
            <w:pPr>
              <w:spacing w:after="0"/>
              <w:contextualSpacing w:val="0"/>
              <w:rPr>
                <w:rFonts w:ascii="Calibri" w:eastAsia="Times New Roman" w:hAnsi="Calibri" w:cs="Times New Roman"/>
                <w:b/>
                <w:bCs/>
                <w:color w:val="000000"/>
                <w:sz w:val="22"/>
              </w:rPr>
            </w:pPr>
            <w:r w:rsidRPr="00B635FB">
              <w:rPr>
                <w:rFonts w:ascii="Calibri" w:eastAsia="Times New Roman" w:hAnsi="Calibri" w:cs="Times New Roman"/>
                <w:b/>
                <w:bCs/>
                <w:color w:val="000000"/>
                <w:sz w:val="22"/>
              </w:rPr>
              <w:t>Description</w:t>
            </w:r>
          </w:p>
        </w:tc>
      </w:tr>
      <w:tr w:rsidR="00B635FB" w:rsidRPr="00B635FB" w:rsidTr="00B635FB">
        <w:trPr>
          <w:trHeight w:val="600"/>
        </w:trPr>
        <w:tc>
          <w:tcPr>
            <w:tcW w:w="1880" w:type="dxa"/>
            <w:tcBorders>
              <w:top w:val="nil"/>
              <w:left w:val="single" w:sz="4" w:space="0" w:color="auto"/>
              <w:bottom w:val="single" w:sz="4" w:space="0" w:color="auto"/>
              <w:right w:val="single" w:sz="4" w:space="0" w:color="auto"/>
            </w:tcBorders>
            <w:shd w:val="clear" w:color="auto" w:fill="auto"/>
            <w:noWrap/>
            <w:hideMark/>
          </w:tcPr>
          <w:p w:rsidR="00B635FB" w:rsidRPr="00B635FB" w:rsidRDefault="00B635FB" w:rsidP="00B635FB">
            <w:pPr>
              <w:spacing w:after="0"/>
              <w:contextualSpacing w:val="0"/>
              <w:rPr>
                <w:rFonts w:ascii="Calibri" w:eastAsia="Times New Roman" w:hAnsi="Calibri" w:cs="Times New Roman"/>
                <w:color w:val="000000"/>
                <w:sz w:val="22"/>
              </w:rPr>
            </w:pPr>
            <w:proofErr w:type="spellStart"/>
            <w:r w:rsidRPr="00B635FB">
              <w:rPr>
                <w:rFonts w:ascii="Calibri" w:eastAsia="Times New Roman" w:hAnsi="Calibri" w:cs="Times New Roman"/>
                <w:color w:val="000000"/>
                <w:sz w:val="22"/>
              </w:rPr>
              <w:t>PackageRunTime</w:t>
            </w:r>
            <w:proofErr w:type="spellEnd"/>
          </w:p>
        </w:tc>
        <w:tc>
          <w:tcPr>
            <w:tcW w:w="1620" w:type="dxa"/>
            <w:tcBorders>
              <w:top w:val="nil"/>
              <w:left w:val="nil"/>
              <w:bottom w:val="single" w:sz="4" w:space="0" w:color="auto"/>
              <w:right w:val="single" w:sz="4" w:space="0" w:color="auto"/>
            </w:tcBorders>
            <w:shd w:val="clear" w:color="auto" w:fill="auto"/>
            <w:noWrap/>
            <w:hideMark/>
          </w:tcPr>
          <w:p w:rsidR="00B635FB" w:rsidRPr="00B635FB" w:rsidRDefault="00B635FB" w:rsidP="00B635FB">
            <w:pPr>
              <w:spacing w:after="0"/>
              <w:contextualSpacing w:val="0"/>
              <w:rPr>
                <w:rFonts w:ascii="Calibri" w:eastAsia="Times New Roman" w:hAnsi="Calibri" w:cs="Times New Roman"/>
                <w:color w:val="000000"/>
                <w:sz w:val="22"/>
              </w:rPr>
            </w:pPr>
            <w:r w:rsidRPr="00B635FB">
              <w:rPr>
                <w:rFonts w:ascii="Calibri" w:eastAsia="Times New Roman" w:hAnsi="Calibri" w:cs="Times New Roman"/>
                <w:color w:val="000000"/>
                <w:sz w:val="22"/>
              </w:rPr>
              <w:t>@</w:t>
            </w:r>
            <w:proofErr w:type="spellStart"/>
            <w:r w:rsidRPr="00B635FB">
              <w:rPr>
                <w:rFonts w:ascii="Calibri" w:eastAsia="Times New Roman" w:hAnsi="Calibri" w:cs="Times New Roman"/>
                <w:color w:val="000000"/>
                <w:sz w:val="22"/>
              </w:rPr>
              <w:t>PackageName</w:t>
            </w:r>
            <w:proofErr w:type="spellEnd"/>
          </w:p>
        </w:tc>
        <w:tc>
          <w:tcPr>
            <w:tcW w:w="2080" w:type="dxa"/>
            <w:tcBorders>
              <w:top w:val="nil"/>
              <w:left w:val="nil"/>
              <w:bottom w:val="single" w:sz="4" w:space="0" w:color="auto"/>
              <w:right w:val="single" w:sz="4" w:space="0" w:color="auto"/>
            </w:tcBorders>
            <w:shd w:val="clear" w:color="auto" w:fill="auto"/>
            <w:noWrap/>
            <w:hideMark/>
          </w:tcPr>
          <w:p w:rsidR="00B635FB" w:rsidRPr="00B635FB" w:rsidRDefault="00B635FB" w:rsidP="00B635FB">
            <w:pPr>
              <w:spacing w:after="0"/>
              <w:contextualSpacing w:val="0"/>
              <w:rPr>
                <w:rFonts w:ascii="Calibri" w:eastAsia="Times New Roman" w:hAnsi="Calibri" w:cs="Times New Roman"/>
                <w:color w:val="000000"/>
                <w:sz w:val="22"/>
              </w:rPr>
            </w:pPr>
            <w:r w:rsidRPr="00B635FB">
              <w:rPr>
                <w:rFonts w:ascii="Calibri" w:eastAsia="Times New Roman" w:hAnsi="Calibri" w:cs="Times New Roman"/>
                <w:color w:val="000000"/>
                <w:sz w:val="22"/>
              </w:rPr>
              <w:t>VARCHAR(MAX)</w:t>
            </w:r>
          </w:p>
        </w:tc>
        <w:tc>
          <w:tcPr>
            <w:tcW w:w="4300" w:type="dxa"/>
            <w:tcBorders>
              <w:top w:val="nil"/>
              <w:left w:val="nil"/>
              <w:bottom w:val="single" w:sz="4" w:space="0" w:color="auto"/>
              <w:right w:val="single" w:sz="4" w:space="0" w:color="auto"/>
            </w:tcBorders>
            <w:shd w:val="clear" w:color="auto" w:fill="auto"/>
            <w:vAlign w:val="bottom"/>
            <w:hideMark/>
          </w:tcPr>
          <w:p w:rsidR="00B635FB" w:rsidRPr="00B635FB" w:rsidRDefault="00B635FB" w:rsidP="00B635FB">
            <w:pPr>
              <w:spacing w:after="0"/>
              <w:contextualSpacing w:val="0"/>
              <w:rPr>
                <w:rFonts w:ascii="Calibri" w:eastAsia="Times New Roman" w:hAnsi="Calibri" w:cs="Times New Roman"/>
                <w:color w:val="000000"/>
                <w:sz w:val="22"/>
              </w:rPr>
            </w:pPr>
            <w:r w:rsidRPr="00B635FB">
              <w:rPr>
                <w:rFonts w:ascii="Calibri" w:eastAsia="Times New Roman" w:hAnsi="Calibri" w:cs="Times New Roman"/>
                <w:color w:val="000000"/>
                <w:sz w:val="22"/>
              </w:rPr>
              <w:t>Pass in the name of the package. Tells you how long an individual package ran.</w:t>
            </w:r>
          </w:p>
        </w:tc>
      </w:tr>
      <w:tr w:rsidR="00B635FB" w:rsidRPr="00B635FB" w:rsidTr="00B635FB">
        <w:trPr>
          <w:trHeight w:val="600"/>
        </w:trPr>
        <w:tc>
          <w:tcPr>
            <w:tcW w:w="1880" w:type="dxa"/>
            <w:tcBorders>
              <w:top w:val="nil"/>
              <w:left w:val="single" w:sz="4" w:space="0" w:color="auto"/>
              <w:bottom w:val="single" w:sz="4" w:space="0" w:color="auto"/>
              <w:right w:val="single" w:sz="4" w:space="0" w:color="auto"/>
            </w:tcBorders>
            <w:shd w:val="clear" w:color="auto" w:fill="auto"/>
            <w:noWrap/>
            <w:hideMark/>
          </w:tcPr>
          <w:p w:rsidR="00B635FB" w:rsidRPr="00B635FB" w:rsidRDefault="00B635FB" w:rsidP="00B635FB">
            <w:pPr>
              <w:spacing w:after="0"/>
              <w:contextualSpacing w:val="0"/>
              <w:rPr>
                <w:rFonts w:ascii="Calibri" w:eastAsia="Times New Roman" w:hAnsi="Calibri" w:cs="Times New Roman"/>
                <w:color w:val="000000"/>
                <w:sz w:val="22"/>
              </w:rPr>
            </w:pPr>
            <w:proofErr w:type="spellStart"/>
            <w:r w:rsidRPr="00B635FB">
              <w:rPr>
                <w:rFonts w:ascii="Calibri" w:eastAsia="Times New Roman" w:hAnsi="Calibri" w:cs="Times New Roman"/>
                <w:color w:val="000000"/>
                <w:sz w:val="22"/>
              </w:rPr>
              <w:t>ErrorLogByBatch</w:t>
            </w:r>
            <w:proofErr w:type="spellEnd"/>
          </w:p>
        </w:tc>
        <w:tc>
          <w:tcPr>
            <w:tcW w:w="1620" w:type="dxa"/>
            <w:tcBorders>
              <w:top w:val="nil"/>
              <w:left w:val="nil"/>
              <w:bottom w:val="single" w:sz="4" w:space="0" w:color="auto"/>
              <w:right w:val="single" w:sz="4" w:space="0" w:color="auto"/>
            </w:tcBorders>
            <w:shd w:val="clear" w:color="auto" w:fill="auto"/>
            <w:noWrap/>
            <w:hideMark/>
          </w:tcPr>
          <w:p w:rsidR="00B635FB" w:rsidRPr="00B635FB" w:rsidRDefault="00B635FB" w:rsidP="00B635FB">
            <w:pPr>
              <w:spacing w:after="0"/>
              <w:contextualSpacing w:val="0"/>
              <w:rPr>
                <w:rFonts w:ascii="Calibri" w:eastAsia="Times New Roman" w:hAnsi="Calibri" w:cs="Times New Roman"/>
                <w:color w:val="000000"/>
                <w:sz w:val="22"/>
              </w:rPr>
            </w:pPr>
            <w:r w:rsidRPr="00B635FB">
              <w:rPr>
                <w:rFonts w:ascii="Calibri" w:eastAsia="Times New Roman" w:hAnsi="Calibri" w:cs="Times New Roman"/>
                <w:color w:val="000000"/>
                <w:sz w:val="22"/>
              </w:rPr>
              <w:t>@</w:t>
            </w:r>
            <w:proofErr w:type="spellStart"/>
            <w:r w:rsidRPr="00B635FB">
              <w:rPr>
                <w:rFonts w:ascii="Calibri" w:eastAsia="Times New Roman" w:hAnsi="Calibri" w:cs="Times New Roman"/>
                <w:color w:val="000000"/>
                <w:sz w:val="22"/>
              </w:rPr>
              <w:t>BatchID</w:t>
            </w:r>
            <w:proofErr w:type="spellEnd"/>
          </w:p>
        </w:tc>
        <w:tc>
          <w:tcPr>
            <w:tcW w:w="2080" w:type="dxa"/>
            <w:tcBorders>
              <w:top w:val="nil"/>
              <w:left w:val="nil"/>
              <w:bottom w:val="single" w:sz="4" w:space="0" w:color="auto"/>
              <w:right w:val="single" w:sz="4" w:space="0" w:color="auto"/>
            </w:tcBorders>
            <w:shd w:val="clear" w:color="auto" w:fill="auto"/>
            <w:noWrap/>
            <w:hideMark/>
          </w:tcPr>
          <w:p w:rsidR="00B635FB" w:rsidRPr="00B635FB" w:rsidRDefault="00B635FB" w:rsidP="00B635FB">
            <w:pPr>
              <w:spacing w:after="0"/>
              <w:contextualSpacing w:val="0"/>
              <w:rPr>
                <w:rFonts w:ascii="Calibri" w:eastAsia="Times New Roman" w:hAnsi="Calibri" w:cs="Times New Roman"/>
                <w:color w:val="000000"/>
                <w:sz w:val="22"/>
              </w:rPr>
            </w:pPr>
            <w:r w:rsidRPr="00B635FB">
              <w:rPr>
                <w:rFonts w:ascii="Calibri" w:eastAsia="Times New Roman" w:hAnsi="Calibri" w:cs="Times New Roman"/>
                <w:color w:val="000000"/>
                <w:sz w:val="22"/>
              </w:rPr>
              <w:t>INT</w:t>
            </w:r>
          </w:p>
        </w:tc>
        <w:tc>
          <w:tcPr>
            <w:tcW w:w="4300" w:type="dxa"/>
            <w:tcBorders>
              <w:top w:val="nil"/>
              <w:left w:val="nil"/>
              <w:bottom w:val="single" w:sz="4" w:space="0" w:color="auto"/>
              <w:right w:val="single" w:sz="4" w:space="0" w:color="auto"/>
            </w:tcBorders>
            <w:shd w:val="clear" w:color="auto" w:fill="auto"/>
            <w:vAlign w:val="bottom"/>
            <w:hideMark/>
          </w:tcPr>
          <w:p w:rsidR="00B635FB" w:rsidRPr="00B635FB" w:rsidRDefault="00B635FB" w:rsidP="00B635FB">
            <w:pPr>
              <w:spacing w:after="0"/>
              <w:contextualSpacing w:val="0"/>
              <w:rPr>
                <w:rFonts w:ascii="Calibri" w:eastAsia="Times New Roman" w:hAnsi="Calibri" w:cs="Times New Roman"/>
                <w:color w:val="000000"/>
                <w:sz w:val="22"/>
              </w:rPr>
            </w:pPr>
            <w:r w:rsidRPr="00B635FB">
              <w:rPr>
                <w:rFonts w:ascii="Calibri" w:eastAsia="Times New Roman" w:hAnsi="Calibri" w:cs="Times New Roman"/>
                <w:color w:val="000000"/>
                <w:sz w:val="22"/>
              </w:rPr>
              <w:t>Pass in the batch ID. Tells you all the errors in a particular batch.</w:t>
            </w:r>
          </w:p>
        </w:tc>
      </w:tr>
      <w:tr w:rsidR="00B635FB" w:rsidRPr="00B635FB" w:rsidTr="00B635FB">
        <w:trPr>
          <w:trHeight w:val="600"/>
        </w:trPr>
        <w:tc>
          <w:tcPr>
            <w:tcW w:w="1880" w:type="dxa"/>
            <w:tcBorders>
              <w:top w:val="nil"/>
              <w:left w:val="single" w:sz="4" w:space="0" w:color="auto"/>
              <w:bottom w:val="single" w:sz="4" w:space="0" w:color="auto"/>
              <w:right w:val="single" w:sz="4" w:space="0" w:color="auto"/>
            </w:tcBorders>
            <w:shd w:val="clear" w:color="auto" w:fill="auto"/>
            <w:noWrap/>
            <w:hideMark/>
          </w:tcPr>
          <w:p w:rsidR="00B635FB" w:rsidRPr="00B635FB" w:rsidRDefault="00B635FB" w:rsidP="00B635FB">
            <w:pPr>
              <w:spacing w:after="0"/>
              <w:contextualSpacing w:val="0"/>
              <w:rPr>
                <w:rFonts w:ascii="Calibri" w:eastAsia="Times New Roman" w:hAnsi="Calibri" w:cs="Times New Roman"/>
                <w:color w:val="000000"/>
                <w:sz w:val="22"/>
              </w:rPr>
            </w:pPr>
            <w:proofErr w:type="spellStart"/>
            <w:r w:rsidRPr="00B635FB">
              <w:rPr>
                <w:rFonts w:ascii="Calibri" w:eastAsia="Times New Roman" w:hAnsi="Calibri" w:cs="Times New Roman"/>
                <w:color w:val="000000"/>
                <w:sz w:val="22"/>
              </w:rPr>
              <w:t>BatchRunTime</w:t>
            </w:r>
            <w:proofErr w:type="spellEnd"/>
          </w:p>
        </w:tc>
        <w:tc>
          <w:tcPr>
            <w:tcW w:w="1620" w:type="dxa"/>
            <w:tcBorders>
              <w:top w:val="nil"/>
              <w:left w:val="nil"/>
              <w:bottom w:val="single" w:sz="4" w:space="0" w:color="auto"/>
              <w:right w:val="single" w:sz="4" w:space="0" w:color="auto"/>
            </w:tcBorders>
            <w:shd w:val="clear" w:color="auto" w:fill="auto"/>
            <w:noWrap/>
            <w:hideMark/>
          </w:tcPr>
          <w:p w:rsidR="00B635FB" w:rsidRPr="00B635FB" w:rsidRDefault="00B635FB" w:rsidP="00B635FB">
            <w:pPr>
              <w:spacing w:after="0"/>
              <w:contextualSpacing w:val="0"/>
              <w:rPr>
                <w:rFonts w:ascii="Calibri" w:eastAsia="Times New Roman" w:hAnsi="Calibri" w:cs="Times New Roman"/>
                <w:color w:val="000000"/>
                <w:sz w:val="22"/>
              </w:rPr>
            </w:pPr>
            <w:r w:rsidRPr="00B635FB">
              <w:rPr>
                <w:rFonts w:ascii="Calibri" w:eastAsia="Times New Roman" w:hAnsi="Calibri" w:cs="Times New Roman"/>
                <w:color w:val="000000"/>
                <w:sz w:val="22"/>
              </w:rPr>
              <w:t>@</w:t>
            </w:r>
            <w:proofErr w:type="spellStart"/>
            <w:r w:rsidRPr="00B635FB">
              <w:rPr>
                <w:rFonts w:ascii="Calibri" w:eastAsia="Times New Roman" w:hAnsi="Calibri" w:cs="Times New Roman"/>
                <w:color w:val="000000"/>
                <w:sz w:val="22"/>
              </w:rPr>
              <w:t>BatchID</w:t>
            </w:r>
            <w:proofErr w:type="spellEnd"/>
          </w:p>
        </w:tc>
        <w:tc>
          <w:tcPr>
            <w:tcW w:w="2080" w:type="dxa"/>
            <w:tcBorders>
              <w:top w:val="nil"/>
              <w:left w:val="nil"/>
              <w:bottom w:val="single" w:sz="4" w:space="0" w:color="auto"/>
              <w:right w:val="single" w:sz="4" w:space="0" w:color="auto"/>
            </w:tcBorders>
            <w:shd w:val="clear" w:color="auto" w:fill="auto"/>
            <w:noWrap/>
            <w:hideMark/>
          </w:tcPr>
          <w:p w:rsidR="00B635FB" w:rsidRPr="00B635FB" w:rsidRDefault="00B635FB" w:rsidP="00B635FB">
            <w:pPr>
              <w:spacing w:after="0"/>
              <w:contextualSpacing w:val="0"/>
              <w:rPr>
                <w:rFonts w:ascii="Calibri" w:eastAsia="Times New Roman" w:hAnsi="Calibri" w:cs="Times New Roman"/>
                <w:color w:val="000000"/>
                <w:sz w:val="22"/>
              </w:rPr>
            </w:pPr>
            <w:r w:rsidRPr="00B635FB">
              <w:rPr>
                <w:rFonts w:ascii="Calibri" w:eastAsia="Times New Roman" w:hAnsi="Calibri" w:cs="Times New Roman"/>
                <w:color w:val="000000"/>
                <w:sz w:val="22"/>
              </w:rPr>
              <w:t>INT</w:t>
            </w:r>
          </w:p>
        </w:tc>
        <w:tc>
          <w:tcPr>
            <w:tcW w:w="4300" w:type="dxa"/>
            <w:tcBorders>
              <w:top w:val="nil"/>
              <w:left w:val="nil"/>
              <w:bottom w:val="single" w:sz="4" w:space="0" w:color="auto"/>
              <w:right w:val="single" w:sz="4" w:space="0" w:color="auto"/>
            </w:tcBorders>
            <w:shd w:val="clear" w:color="auto" w:fill="auto"/>
            <w:vAlign w:val="bottom"/>
            <w:hideMark/>
          </w:tcPr>
          <w:p w:rsidR="00B635FB" w:rsidRPr="00B635FB" w:rsidRDefault="00B635FB" w:rsidP="00B635FB">
            <w:pPr>
              <w:spacing w:after="0"/>
              <w:contextualSpacing w:val="0"/>
              <w:rPr>
                <w:rFonts w:ascii="Calibri" w:eastAsia="Times New Roman" w:hAnsi="Calibri" w:cs="Times New Roman"/>
                <w:color w:val="000000"/>
                <w:sz w:val="22"/>
              </w:rPr>
            </w:pPr>
            <w:r w:rsidRPr="00B635FB">
              <w:rPr>
                <w:rFonts w:ascii="Calibri" w:eastAsia="Times New Roman" w:hAnsi="Calibri" w:cs="Times New Roman"/>
                <w:color w:val="000000"/>
                <w:sz w:val="22"/>
              </w:rPr>
              <w:t>Pass in the batch ID. Tells you how long a particular batch ran.</w:t>
            </w:r>
          </w:p>
        </w:tc>
      </w:tr>
      <w:tr w:rsidR="00B635FB" w:rsidRPr="00B635FB" w:rsidTr="00B635FB">
        <w:trPr>
          <w:trHeight w:val="600"/>
        </w:trPr>
        <w:tc>
          <w:tcPr>
            <w:tcW w:w="1880" w:type="dxa"/>
            <w:tcBorders>
              <w:top w:val="nil"/>
              <w:left w:val="single" w:sz="4" w:space="0" w:color="auto"/>
              <w:bottom w:val="single" w:sz="4" w:space="0" w:color="auto"/>
              <w:right w:val="single" w:sz="4" w:space="0" w:color="auto"/>
            </w:tcBorders>
            <w:shd w:val="clear" w:color="auto" w:fill="auto"/>
            <w:noWrap/>
            <w:hideMark/>
          </w:tcPr>
          <w:p w:rsidR="00B635FB" w:rsidRPr="00B635FB" w:rsidRDefault="00B635FB" w:rsidP="00B635FB">
            <w:pPr>
              <w:spacing w:after="0"/>
              <w:contextualSpacing w:val="0"/>
              <w:rPr>
                <w:rFonts w:ascii="Calibri" w:eastAsia="Times New Roman" w:hAnsi="Calibri" w:cs="Times New Roman"/>
                <w:color w:val="000000"/>
                <w:sz w:val="22"/>
              </w:rPr>
            </w:pPr>
            <w:proofErr w:type="spellStart"/>
            <w:r w:rsidRPr="00B635FB">
              <w:rPr>
                <w:rFonts w:ascii="Calibri" w:eastAsia="Times New Roman" w:hAnsi="Calibri" w:cs="Times New Roman"/>
                <w:color w:val="000000"/>
                <w:sz w:val="22"/>
              </w:rPr>
              <w:t>ErrorLogByPackage</w:t>
            </w:r>
            <w:proofErr w:type="spellEnd"/>
          </w:p>
        </w:tc>
        <w:tc>
          <w:tcPr>
            <w:tcW w:w="1620" w:type="dxa"/>
            <w:tcBorders>
              <w:top w:val="nil"/>
              <w:left w:val="nil"/>
              <w:bottom w:val="single" w:sz="4" w:space="0" w:color="auto"/>
              <w:right w:val="single" w:sz="4" w:space="0" w:color="auto"/>
            </w:tcBorders>
            <w:shd w:val="clear" w:color="auto" w:fill="auto"/>
            <w:noWrap/>
            <w:hideMark/>
          </w:tcPr>
          <w:p w:rsidR="00B635FB" w:rsidRPr="00B635FB" w:rsidRDefault="00B635FB" w:rsidP="00B635FB">
            <w:pPr>
              <w:spacing w:after="0"/>
              <w:contextualSpacing w:val="0"/>
              <w:rPr>
                <w:rFonts w:ascii="Calibri" w:eastAsia="Times New Roman" w:hAnsi="Calibri" w:cs="Times New Roman"/>
                <w:color w:val="000000"/>
                <w:sz w:val="22"/>
              </w:rPr>
            </w:pPr>
            <w:r w:rsidRPr="00B635FB">
              <w:rPr>
                <w:rFonts w:ascii="Calibri" w:eastAsia="Times New Roman" w:hAnsi="Calibri" w:cs="Times New Roman"/>
                <w:color w:val="000000"/>
                <w:sz w:val="22"/>
              </w:rPr>
              <w:t>@</w:t>
            </w:r>
            <w:proofErr w:type="spellStart"/>
            <w:r w:rsidRPr="00B635FB">
              <w:rPr>
                <w:rFonts w:ascii="Calibri" w:eastAsia="Times New Roman" w:hAnsi="Calibri" w:cs="Times New Roman"/>
                <w:color w:val="000000"/>
                <w:sz w:val="22"/>
              </w:rPr>
              <w:t>PackageName</w:t>
            </w:r>
            <w:proofErr w:type="spellEnd"/>
          </w:p>
        </w:tc>
        <w:tc>
          <w:tcPr>
            <w:tcW w:w="2080" w:type="dxa"/>
            <w:tcBorders>
              <w:top w:val="nil"/>
              <w:left w:val="nil"/>
              <w:bottom w:val="single" w:sz="4" w:space="0" w:color="auto"/>
              <w:right w:val="single" w:sz="4" w:space="0" w:color="auto"/>
            </w:tcBorders>
            <w:shd w:val="clear" w:color="auto" w:fill="auto"/>
            <w:noWrap/>
            <w:hideMark/>
          </w:tcPr>
          <w:p w:rsidR="00B635FB" w:rsidRPr="00B635FB" w:rsidRDefault="00B635FB" w:rsidP="00B635FB">
            <w:pPr>
              <w:spacing w:after="0"/>
              <w:contextualSpacing w:val="0"/>
              <w:rPr>
                <w:rFonts w:ascii="Calibri" w:eastAsia="Times New Roman" w:hAnsi="Calibri" w:cs="Times New Roman"/>
                <w:color w:val="000000"/>
                <w:sz w:val="22"/>
              </w:rPr>
            </w:pPr>
            <w:r w:rsidRPr="00B635FB">
              <w:rPr>
                <w:rFonts w:ascii="Calibri" w:eastAsia="Times New Roman" w:hAnsi="Calibri" w:cs="Times New Roman"/>
                <w:color w:val="000000"/>
                <w:sz w:val="22"/>
              </w:rPr>
              <w:t>VARCHAR(MAX)</w:t>
            </w:r>
          </w:p>
        </w:tc>
        <w:tc>
          <w:tcPr>
            <w:tcW w:w="4300" w:type="dxa"/>
            <w:tcBorders>
              <w:top w:val="nil"/>
              <w:left w:val="nil"/>
              <w:bottom w:val="single" w:sz="4" w:space="0" w:color="auto"/>
              <w:right w:val="single" w:sz="4" w:space="0" w:color="auto"/>
            </w:tcBorders>
            <w:shd w:val="clear" w:color="auto" w:fill="auto"/>
            <w:vAlign w:val="bottom"/>
            <w:hideMark/>
          </w:tcPr>
          <w:p w:rsidR="00B635FB" w:rsidRPr="00B635FB" w:rsidRDefault="00B635FB" w:rsidP="00B635FB">
            <w:pPr>
              <w:spacing w:after="0"/>
              <w:contextualSpacing w:val="0"/>
              <w:rPr>
                <w:rFonts w:ascii="Calibri" w:eastAsia="Times New Roman" w:hAnsi="Calibri" w:cs="Times New Roman"/>
                <w:color w:val="000000"/>
                <w:sz w:val="22"/>
              </w:rPr>
            </w:pPr>
            <w:r w:rsidRPr="00B635FB">
              <w:rPr>
                <w:rFonts w:ascii="Calibri" w:eastAsia="Times New Roman" w:hAnsi="Calibri" w:cs="Times New Roman"/>
                <w:color w:val="000000"/>
                <w:sz w:val="22"/>
              </w:rPr>
              <w:t>Pass in the name of the package. Tells you errors for a particular package.</w:t>
            </w:r>
          </w:p>
        </w:tc>
      </w:tr>
    </w:tbl>
    <w:p w:rsidR="00C602F6" w:rsidRDefault="00C602F6" w:rsidP="00C602F6"/>
    <w:p w:rsidR="00B635FB" w:rsidRDefault="00B635FB" w:rsidP="00C602F6">
      <w:r>
        <w:t>Developers are encouraged to write their own procedures for their own troubleshooting needs. The ERD for the logging tables is attached below.</w:t>
      </w:r>
    </w:p>
    <w:p w:rsidR="00B635FB" w:rsidRDefault="00B635FB" w:rsidP="00C602F6"/>
    <w:p w:rsidR="00B635FB" w:rsidRPr="00631BB2" w:rsidRDefault="00126F87" w:rsidP="00C602F6">
      <w:r>
        <w:object w:dxaOrig="204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66pt" o:ole="">
            <v:imagedata r:id="rId6" o:title=""/>
          </v:shape>
          <o:OLEObject Type="Embed" ProgID="AcroExch.Document.DC" ShapeID="_x0000_i1025" DrawAspect="Icon" ObjectID="_1527413644" r:id="rId7"/>
        </w:object>
      </w:r>
    </w:p>
    <w:p w:rsidR="00307E63" w:rsidRDefault="00307E63"/>
    <w:p w:rsidR="00F71EF9" w:rsidRDefault="00F71EF9">
      <w:pPr>
        <w:rPr>
          <w:u w:val="single"/>
        </w:rPr>
      </w:pPr>
    </w:p>
    <w:p w:rsidR="00F71EF9" w:rsidRDefault="00F71EF9">
      <w:pPr>
        <w:rPr>
          <w:u w:val="single"/>
        </w:rPr>
      </w:pPr>
    </w:p>
    <w:p w:rsidR="00F71EF9" w:rsidRDefault="00F71EF9">
      <w:pPr>
        <w:rPr>
          <w:u w:val="single"/>
        </w:rPr>
      </w:pPr>
    </w:p>
    <w:p w:rsidR="00F71EF9" w:rsidRDefault="00F71EF9">
      <w:pPr>
        <w:rPr>
          <w:u w:val="single"/>
        </w:rPr>
      </w:pPr>
    </w:p>
    <w:p w:rsidR="00126F87" w:rsidRDefault="00126F87">
      <w:pPr>
        <w:rPr>
          <w:u w:val="single"/>
        </w:rPr>
      </w:pPr>
    </w:p>
    <w:p w:rsidR="00126F87" w:rsidRDefault="00126F87">
      <w:pPr>
        <w:rPr>
          <w:u w:val="single"/>
        </w:rPr>
      </w:pPr>
    </w:p>
    <w:p w:rsidR="00126F87" w:rsidRDefault="00126F87">
      <w:pPr>
        <w:rPr>
          <w:u w:val="single"/>
        </w:rPr>
      </w:pPr>
    </w:p>
    <w:p w:rsidR="009E589B" w:rsidRDefault="00F71EF9">
      <w:pPr>
        <w:rPr>
          <w:u w:val="single"/>
        </w:rPr>
      </w:pPr>
      <w:r>
        <w:rPr>
          <w:u w:val="single"/>
        </w:rPr>
        <w:lastRenderedPageBreak/>
        <w:t>Creating new configuration settings</w:t>
      </w:r>
    </w:p>
    <w:p w:rsidR="00F71EF9" w:rsidRDefault="00F71EF9">
      <w:pPr>
        <w:rPr>
          <w:u w:val="single"/>
        </w:rPr>
      </w:pPr>
    </w:p>
    <w:p w:rsidR="00F71EF9" w:rsidRDefault="00F71EF9">
      <w:r>
        <w:t>Developers are encouraged to make packages as flexible as possible by using package configurations. Package configuration creation is explained in the attached sample script.</w:t>
      </w:r>
    </w:p>
    <w:p w:rsidR="00F71EF9" w:rsidRDefault="00F71EF9"/>
    <w:p w:rsidR="00F71EF9" w:rsidRPr="00F71EF9" w:rsidRDefault="006E2B56">
      <w:r>
        <w:object w:dxaOrig="3855" w:dyaOrig="810">
          <v:shape id="_x0000_i1026" type="#_x0000_t75" style="width:192.75pt;height:40.5pt" o:ole="">
            <v:imagedata r:id="rId8" o:title=""/>
          </v:shape>
          <o:OLEObject Type="Embed" ProgID="Package" ShapeID="_x0000_i1026" DrawAspect="Content" ObjectID="_1527413645" r:id="rId9"/>
        </w:object>
      </w:r>
    </w:p>
    <w:p w:rsidR="00F454DC" w:rsidRDefault="00F454DC"/>
    <w:p w:rsidR="004E7AB5" w:rsidRDefault="004E7AB5"/>
    <w:p w:rsidR="004E7AB5" w:rsidRDefault="004E7AB5"/>
    <w:sectPr w:rsidR="004E7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CC2"/>
    <w:multiLevelType w:val="hybridMultilevel"/>
    <w:tmpl w:val="9F947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07979"/>
    <w:multiLevelType w:val="hybridMultilevel"/>
    <w:tmpl w:val="DB0AA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3132E"/>
    <w:multiLevelType w:val="hybridMultilevel"/>
    <w:tmpl w:val="58FC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684"/>
    <w:rsid w:val="00050E35"/>
    <w:rsid w:val="00073F7B"/>
    <w:rsid w:val="00126F87"/>
    <w:rsid w:val="00257580"/>
    <w:rsid w:val="002A3CFA"/>
    <w:rsid w:val="00307E63"/>
    <w:rsid w:val="00407D49"/>
    <w:rsid w:val="004126E1"/>
    <w:rsid w:val="004B74F4"/>
    <w:rsid w:val="004D1498"/>
    <w:rsid w:val="004E7AB5"/>
    <w:rsid w:val="00542160"/>
    <w:rsid w:val="00553684"/>
    <w:rsid w:val="00571550"/>
    <w:rsid w:val="0058226B"/>
    <w:rsid w:val="00587E95"/>
    <w:rsid w:val="005C68B4"/>
    <w:rsid w:val="00631BB2"/>
    <w:rsid w:val="006811D2"/>
    <w:rsid w:val="006B0D7E"/>
    <w:rsid w:val="006E2B56"/>
    <w:rsid w:val="006F2375"/>
    <w:rsid w:val="00717956"/>
    <w:rsid w:val="00721EA6"/>
    <w:rsid w:val="007B3FF9"/>
    <w:rsid w:val="007C2C61"/>
    <w:rsid w:val="007D1B9E"/>
    <w:rsid w:val="00830E35"/>
    <w:rsid w:val="00890B93"/>
    <w:rsid w:val="008B1199"/>
    <w:rsid w:val="008E2927"/>
    <w:rsid w:val="008F0952"/>
    <w:rsid w:val="00973D96"/>
    <w:rsid w:val="00987401"/>
    <w:rsid w:val="009A3793"/>
    <w:rsid w:val="009A6772"/>
    <w:rsid w:val="009B702E"/>
    <w:rsid w:val="009E589B"/>
    <w:rsid w:val="00AB39FB"/>
    <w:rsid w:val="00AC77A1"/>
    <w:rsid w:val="00AF21CE"/>
    <w:rsid w:val="00B4568C"/>
    <w:rsid w:val="00B635FB"/>
    <w:rsid w:val="00B9639A"/>
    <w:rsid w:val="00BB4EAC"/>
    <w:rsid w:val="00BC21B5"/>
    <w:rsid w:val="00BD2F8D"/>
    <w:rsid w:val="00BD445D"/>
    <w:rsid w:val="00C33A53"/>
    <w:rsid w:val="00C602F6"/>
    <w:rsid w:val="00C84663"/>
    <w:rsid w:val="00CC738A"/>
    <w:rsid w:val="00E22986"/>
    <w:rsid w:val="00E62B4B"/>
    <w:rsid w:val="00E76770"/>
    <w:rsid w:val="00E940DB"/>
    <w:rsid w:val="00EA610D"/>
    <w:rsid w:val="00EE6192"/>
    <w:rsid w:val="00F454DC"/>
    <w:rsid w:val="00F71EF9"/>
    <w:rsid w:val="00FA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F45785-EB60-4425-AD49-581E4B09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38A"/>
    <w:pPr>
      <w:spacing w:after="200"/>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298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986"/>
    <w:rPr>
      <w:rFonts w:ascii="Tahoma" w:hAnsi="Tahoma" w:cs="Tahoma"/>
      <w:sz w:val="16"/>
      <w:szCs w:val="16"/>
    </w:rPr>
  </w:style>
  <w:style w:type="paragraph" w:styleId="ListParagraph">
    <w:name w:val="List Paragraph"/>
    <w:basedOn w:val="Normal"/>
    <w:uiPriority w:val="34"/>
    <w:qFormat/>
    <w:rsid w:val="00C8466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0529">
      <w:bodyDiv w:val="1"/>
      <w:marLeft w:val="0"/>
      <w:marRight w:val="0"/>
      <w:marTop w:val="0"/>
      <w:marBottom w:val="0"/>
      <w:divBdr>
        <w:top w:val="none" w:sz="0" w:space="0" w:color="auto"/>
        <w:left w:val="none" w:sz="0" w:space="0" w:color="auto"/>
        <w:bottom w:val="none" w:sz="0" w:space="0" w:color="auto"/>
        <w:right w:val="none" w:sz="0" w:space="0" w:color="auto"/>
      </w:divBdr>
    </w:div>
    <w:div w:id="53662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13818</TotalTime>
  <Pages>3</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 Wakefield</cp:lastModifiedBy>
  <cp:revision>26</cp:revision>
  <dcterms:created xsi:type="dcterms:W3CDTF">2013-09-11T15:55:00Z</dcterms:created>
  <dcterms:modified xsi:type="dcterms:W3CDTF">2016-06-14T17:47:00Z</dcterms:modified>
</cp:coreProperties>
</file>