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6"/>
        </w:rPr>
        <w:t>Teachers.Net Semantic Platform —</w:t>
        <w:br/>
        <w:t>Project Approach and Execution Plan</w:t>
      </w:r>
    </w:p>
    <w:p>
      <w:pPr>
        <w:jc w:val="center"/>
      </w:pPr>
      <w:r>
        <w:rPr>
          <w:i/>
        </w:rPr>
        <w:t>A strategic engineering approach for responsible platform evolution</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fill="D9E2F3"/>
          </w:tcPr>
          <w:p>
            <w:r>
              <w:rPr>
                <w:b/>
              </w:rPr>
              <w:t>Status</w:t>
            </w:r>
          </w:p>
        </w:tc>
        <w:tc>
          <w:tcPr>
            <w:tcW w:type="dxa" w:w="3216"/>
            <w:shd w:fill="D9E2F3"/>
          </w:tcPr>
          <w:p>
            <w:r>
              <w:rPr>
                <w:b/>
              </w:rPr>
              <w:t>Audience</w:t>
            </w:r>
          </w:p>
        </w:tc>
        <w:tc>
          <w:tcPr>
            <w:tcW w:type="dxa" w:w="3216"/>
            <w:shd w:fill="D9E2F3"/>
          </w:tcPr>
          <w:p>
            <w:r>
              <w:rPr>
                <w:b/>
              </w:rPr>
              <w:t>Relationship</w:t>
            </w:r>
          </w:p>
        </w:tc>
      </w:tr>
      <w:tr>
        <w:tc>
          <w:tcPr>
            <w:tcW w:type="dxa" w:w="3216"/>
          </w:tcPr>
          <w:p>
            <w:r>
              <w:t>Working strategic approach</w:t>
            </w:r>
          </w:p>
        </w:tc>
        <w:tc>
          <w:tcPr>
            <w:tcW w:type="dxa" w:w="3216"/>
          </w:tcPr>
          <w:p>
            <w:r>
              <w:t>Engineering Director, future ChatGPT sessions, Codex, engineers, product planning</w:t>
            </w:r>
          </w:p>
        </w:tc>
        <w:tc>
          <w:tcPr>
            <w:tcW w:type="dxa" w:w="3216"/>
          </w:tcPr>
          <w:p>
            <w:r>
              <w:t>Companion to the canonical Community 3.0 working draft</w:t>
            </w:r>
          </w:p>
        </w:tc>
      </w:tr>
    </w:tbl>
    <w:p/>
    <w:p>
      <w:r>
        <w:t>This is not an implementation plan. It explains how Teachers.Net can evolve toward a semantic community and communications platform while preserving product boundaries, legacy compatibility, human review, and reversible decisions. It authorizes no code, database, production UI, or migration changes.</w:t>
      </w:r>
    </w:p>
    <w:p>
      <w:r>
        <w:br w:type="page"/>
      </w:r>
    </w:p>
    <w:p>
      <w:pPr>
        <w:pStyle w:val="Heading1"/>
      </w:pPr>
      <w:r>
        <w:t>Contents</w:t>
      </w:r>
    </w:p>
    <w:p>
      <w:r>
        <w:t>Update the table of contents in Word after opening.</w:t>
      </w:r>
    </w:p>
    <w:fldSimple w:instr="TOC \o &quot;1-2&quot; \h \z \u"/>
    <w:p>
      <w:r>
        <w:br w:type="page"/>
      </w:r>
    </w:p>
    <w:p>
      <w:pPr>
        <w:pStyle w:val="Heading1"/>
      </w:pPr>
      <w:r>
        <w:t>Executive Summary</w:t>
      </w:r>
    </w:p>
    <w:p>
      <w:r>
        <w:t>Teachers.Net should evolve as a family of bounded products over a shared semantic foundation, not as one application that absorbs every concern. Core Terms supplies stable classification. Product domains retain authority over their facts and workflows. WordPress authenticates identity. Subscriber contracts, Portable Views, relationship records, and user interests create controlled seams between those authorities.</w:t>
      </w:r>
    </w:p>
    <w:p>
      <w:r>
        <w:t>The sequence is authority and vocabulary, then contracts, then small evidence-producing pilots, and only afterward automation. No new platform layer should become an unreviewed second source of truth.</w:t>
      </w:r>
    </w:p>
    <w:p>
      <w:pPr>
        <w:pStyle w:val="ListBullet"/>
      </w:pPr>
      <w:r>
        <w:t>Terms classify. Jobs authorizes. WordPress authenticates.</w:t>
      </w:r>
    </w:p>
    <w:p>
      <w:pPr>
        <w:pStyle w:val="ListBullet"/>
      </w:pPr>
      <w:r>
        <w:t>Prefer contracts over shared tables and Views over copied product logic.</w:t>
      </w:r>
    </w:p>
    <w:p>
      <w:pPr>
        <w:pStyle w:val="ListBullet"/>
      </w:pPr>
      <w:r>
        <w:t>Separate canonical facts, derived classifications, relationships, preferences, and recommendations.</w:t>
      </w:r>
    </w:p>
    <w:p>
      <w:pPr>
        <w:pStyle w:val="ListBullet"/>
      </w:pPr>
      <w:r>
        <w:t>Human review is required wherever inference could change access, identity, or notification behavior.</w:t>
      </w:r>
    </w:p>
    <w:p>
      <w:pPr>
        <w:pStyle w:val="ListBullet"/>
      </w:pPr>
      <w:r>
        <w:t>Every migration must be reversible, observable, and independently verifiable.</w:t>
      </w:r>
    </w:p>
    <w:p>
      <w:pPr>
        <w:pStyle w:val="Heading1"/>
      </w:pPr>
      <w:r>
        <w:t>Guiding Engineering Principles</w:t>
      </w:r>
    </w:p>
    <w:p>
      <w:pPr>
        <w:pStyle w:val="ListBullet"/>
      </w:pPr>
      <w:r>
        <w:t>Boundaries are explicit and product ownership remains visible.</w:t>
      </w:r>
    </w:p>
    <w:p>
      <w:pPr>
        <w:pStyle w:val="ListBullet"/>
      </w:pPr>
      <w:r>
        <w:t>Stated interests are distinct from inferred interests and neither is silently treated as consent.</w:t>
      </w:r>
    </w:p>
    <w:p>
      <w:pPr>
        <w:pStyle w:val="ListBullet"/>
      </w:pPr>
      <w:r>
        <w:t>Explainability, suppression, unsubscribe, quiet periods, and audit are baseline capabilities.</w:t>
      </w:r>
    </w:p>
    <w:p>
      <w:pPr>
        <w:pStyle w:val="ListBullet"/>
      </w:pPr>
      <w:r>
        <w:t>Use the smallest pilot that proves a boundary; defer generalized infrastructure until evidence justifies it.</w:t>
      </w:r>
    </w:p>
    <w:p>
      <w:pPr>
        <w:pStyle w:val="ListBullet"/>
      </w:pPr>
      <w:r>
        <w:t>Legacy compatibility is a bounded constraint, not permission to preserve every behavior forever.</w:t>
      </w:r>
    </w:p>
    <w:p>
      <w:pPr>
        <w:pStyle w:val="Heading1"/>
      </w:pPr>
      <w:r>
        <w:t>Current State Assessment</w:t>
      </w:r>
    </w:p>
    <w:p>
      <w:r>
        <w:t>The estate is a heterogeneous WordPress platform with mature legacy behavior, shared classification infrastructure, and product-specific engineering. The strategic risk is ambiguity about which system may decide what.</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fill="D9E2F3"/>
          </w:tcPr>
          <w:p>
            <w:r>
              <w:rPr>
                <w:b/>
              </w:rPr>
              <w:t>Area</w:t>
            </w:r>
          </w:p>
        </w:tc>
        <w:tc>
          <w:tcPr>
            <w:tcW w:type="dxa" w:w="3216"/>
            <w:shd w:fill="D9E2F3"/>
          </w:tcPr>
          <w:p>
            <w:r>
              <w:rPr>
                <w:b/>
              </w:rPr>
              <w:t>Current role</w:t>
            </w:r>
          </w:p>
        </w:tc>
        <w:tc>
          <w:tcPr>
            <w:tcW w:type="dxa" w:w="3216"/>
            <w:shd w:fill="D9E2F3"/>
          </w:tcPr>
          <w:p>
            <w:r>
              <w:rPr>
                <w:b/>
              </w:rPr>
              <w:t>Implication</w:t>
            </w:r>
          </w:p>
        </w:tc>
      </w:tr>
      <w:tr>
        <w:tc>
          <w:tcPr>
            <w:tcW w:type="dxa" w:w="3216"/>
          </w:tcPr>
          <w:p>
            <w:r>
              <w:t>Core Terms</w:t>
            </w:r>
          </w:p>
        </w:tc>
        <w:tc>
          <w:tcPr>
            <w:tcW w:type="dxa" w:w="3216"/>
          </w:tcPr>
          <w:p>
            <w:r>
              <w:t>Stable shared classification/runtime/API/editor/compiler/archive capability; visible name remains Core Terms.</w:t>
            </w:r>
          </w:p>
        </w:tc>
        <w:tc>
          <w:tcPr>
            <w:tcW w:type="dxa" w:w="3216"/>
          </w:tcPr>
          <w:p>
            <w:r>
              <w:t>Keep taxonomy independent from product authorization.</w:t>
            </w:r>
          </w:p>
        </w:tc>
      </w:tr>
      <w:tr>
        <w:tc>
          <w:tcPr>
            <w:tcW w:type="dxa" w:w="3216"/>
          </w:tcPr>
          <w:p>
            <w:r>
              <w:t>Job Center</w:t>
            </w:r>
          </w:p>
        </w:tc>
        <w:tc>
          <w:tcPr>
            <w:tcW w:type="dxa" w:w="3216"/>
          </w:tcPr>
          <w:p>
            <w:r>
              <w:t>Owns job facts, provenance, employer authority, lifecycle, locations, and applications.</w:t>
            </w:r>
          </w:p>
        </w:tc>
        <w:tc>
          <w:tcPr>
            <w:tcW w:type="dxa" w:w="3216"/>
          </w:tcPr>
          <w:p>
            <w:r>
              <w:t>Use Jobs-owned contracts and Views.</w:t>
            </w:r>
          </w:p>
        </w:tc>
      </w:tr>
      <w:tr>
        <w:tc>
          <w:tcPr>
            <w:tcW w:type="dxa" w:w="3216"/>
          </w:tcPr>
          <w:p>
            <w:r>
              <w:t>Chatboards and Groups</w:t>
            </w:r>
          </w:p>
        </w:tc>
        <w:tc>
          <w:tcPr>
            <w:tcW w:type="dxa" w:w="3216"/>
          </w:tcPr>
          <w:p>
            <w:r>
              <w:t>Legacy identity requires path/group distinction; membership and notification are not interchangeable.</w:t>
            </w:r>
          </w:p>
        </w:tc>
        <w:tc>
          <w:tcPr>
            <w:tcW w:type="dxa" w:w="3216"/>
          </w:tcPr>
          <w:p>
            <w:r>
              <w:t>Preserve invariants and model these separately.</w:t>
            </w:r>
          </w:p>
        </w:tc>
      </w:tr>
      <w:tr>
        <w:tc>
          <w:tcPr>
            <w:tcW w:type="dxa" w:w="3216"/>
          </w:tcPr>
          <w:p>
            <w:r>
              <w:t>Communications</w:t>
            </w:r>
          </w:p>
        </w:tc>
        <w:tc>
          <w:tcPr>
            <w:tcW w:type="dxa" w:w="3216"/>
          </w:tcPr>
          <w:p>
            <w:r>
              <w:t>Future coordination of subscribers, channels, preferences, suppression, delivery, and audit.</w:t>
            </w:r>
          </w:p>
        </w:tc>
        <w:tc>
          <w:tcPr>
            <w:tcW w:type="dxa" w:w="3216"/>
          </w:tcPr>
          <w:p>
            <w:r>
              <w:t>Start with contracts and safe re-engagement, not broadcasting.</w:t>
            </w:r>
          </w:p>
        </w:tc>
      </w:tr>
      <w:tr>
        <w:tc>
          <w:tcPr>
            <w:tcW w:type="dxa" w:w="3216"/>
          </w:tcPr>
          <w:p>
            <w:r>
              <w:t>Onboarding and Profiles</w:t>
            </w:r>
          </w:p>
        </w:tc>
        <w:tc>
          <w:tcPr>
            <w:tcW w:type="dxa" w:w="3216"/>
          </w:tcPr>
          <w:p>
            <w:r>
              <w:t>Potential sources of stated interests, identity context, and consent.</w:t>
            </w:r>
          </w:p>
        </w:tc>
        <w:tc>
          <w:tcPr>
            <w:tcW w:type="dxa" w:w="3216"/>
          </w:tcPr>
          <w:p>
            <w:r>
              <w:t>Capture explicit signals without equating inference to consent.</w:t>
            </w:r>
          </w:p>
        </w:tc>
      </w:tr>
    </w:tbl>
    <w:p/>
    <w:p>
      <w:r>
        <w:t>Community 3.0 remains in Maintenance for the legacy teacher-group identity correction. The path_id != group_id invariant must remain visible. Membership Taxonomy is distinct from Core Terms: human curation is not a rename of shared runtime infrastructure.</w:t>
      </w:r>
    </w:p>
    <w:p>
      <w:pPr>
        <w:pStyle w:val="Heading1"/>
      </w:pPr>
      <w:r>
        <w:t>Workstream Breakdown</w:t>
      </w:r>
    </w:p>
    <w:p>
      <w:r>
        <w:t>Each workstream is a bounded design area. Deferred items are intentionally outside the first authority-building sequence.</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1608"/>
            <w:shd w:fill="D9E2F3"/>
          </w:tcPr>
          <w:p>
            <w:r>
              <w:rPr>
                <w:b/>
              </w:rPr>
              <w:t>Workstream</w:t>
            </w:r>
          </w:p>
        </w:tc>
        <w:tc>
          <w:tcPr>
            <w:tcW w:type="dxa" w:w="1608"/>
            <w:shd w:fill="D9E2F3"/>
          </w:tcPr>
          <w:p>
            <w:r>
              <w:rPr>
                <w:b/>
              </w:rPr>
              <w:t>Purpose</w:t>
            </w:r>
          </w:p>
        </w:tc>
        <w:tc>
          <w:tcPr>
            <w:tcW w:type="dxa" w:w="1608"/>
            <w:shd w:fill="D9E2F3"/>
          </w:tcPr>
          <w:p>
            <w:r>
              <w:rPr>
                <w:b/>
              </w:rPr>
              <w:t>Dependencies</w:t>
            </w:r>
          </w:p>
        </w:tc>
        <w:tc>
          <w:tcPr>
            <w:tcW w:type="dxa" w:w="1608"/>
            <w:shd w:fill="D9E2F3"/>
          </w:tcPr>
          <w:p>
            <w:r>
              <w:rPr>
                <w:b/>
              </w:rPr>
              <w:t>Risks</w:t>
            </w:r>
          </w:p>
        </w:tc>
        <w:tc>
          <w:tcPr>
            <w:tcW w:type="dxa" w:w="1608"/>
            <w:shd w:fill="D9E2F3"/>
          </w:tcPr>
          <w:p>
            <w:r>
              <w:rPr>
                <w:b/>
              </w:rPr>
              <w:t>Success criteria</w:t>
            </w:r>
          </w:p>
        </w:tc>
        <w:tc>
          <w:tcPr>
            <w:tcW w:type="dxa" w:w="1608"/>
            <w:shd w:fill="D9E2F3"/>
          </w:tcPr>
          <w:p>
            <w:r>
              <w:rPr>
                <w:b/>
              </w:rPr>
              <w:t>Deferred</w:t>
            </w:r>
          </w:p>
        </w:tc>
      </w:tr>
      <w:tr>
        <w:tc>
          <w:tcPr>
            <w:tcW w:type="dxa" w:w="1608"/>
          </w:tcPr>
          <w:p>
            <w:r>
              <w:t>Core Terms</w:t>
            </w:r>
          </w:p>
        </w:tc>
        <w:tc>
          <w:tcPr>
            <w:tcW w:type="dxa" w:w="1608"/>
          </w:tcPr>
          <w:p>
            <w:r>
              <w:t>Stable classification and term contracts</w:t>
            </w:r>
          </w:p>
        </w:tc>
        <w:tc>
          <w:tcPr>
            <w:tcW w:type="dxa" w:w="1608"/>
          </w:tcPr>
          <w:p>
            <w:r>
              <w:t>Core Terms authority; product schemas</w:t>
            </w:r>
          </w:p>
        </w:tc>
        <w:tc>
          <w:tcPr>
            <w:tcW w:type="dxa" w:w="1608"/>
          </w:tcPr>
          <w:p>
            <w:r>
              <w:t>Taxonomy drift; accidental product ownership</w:t>
            </w:r>
          </w:p>
        </w:tc>
        <w:tc>
          <w:tcPr>
            <w:tcW w:type="dxa" w:w="1608"/>
          </w:tcPr>
          <w:p>
            <w:r>
              <w:t>Versioned IDs and reviewable contracts</w:t>
            </w:r>
          </w:p>
        </w:tc>
        <w:tc>
          <w:tcPr>
            <w:tcW w:type="dxa" w:w="1608"/>
          </w:tcPr>
          <w:p>
            <w:r>
              <w:t>Product authorization</w:t>
            </w:r>
          </w:p>
        </w:tc>
      </w:tr>
      <w:tr>
        <w:tc>
          <w:tcPr>
            <w:tcW w:type="dxa" w:w="1608"/>
          </w:tcPr>
          <w:p>
            <w:r>
              <w:t>Portable Views</w:t>
            </w:r>
          </w:p>
        </w:tc>
        <w:tc>
          <w:tcPr>
            <w:tcW w:type="dxa" w:w="1608"/>
          </w:tcPr>
          <w:p>
            <w:r>
              <w:t>Product-safe read models without copied ownership</w:t>
            </w:r>
          </w:p>
        </w:tc>
        <w:tc>
          <w:tcPr>
            <w:tcW w:type="dxa" w:w="1608"/>
          </w:tcPr>
          <w:p>
            <w:r>
              <w:t>Domain contracts; access policy</w:t>
            </w:r>
          </w:p>
        </w:tc>
        <w:tc>
          <w:tcPr>
            <w:tcW w:type="dxa" w:w="1608"/>
          </w:tcPr>
          <w:p>
            <w:r>
              <w:t>Leaky or stale projections</w:t>
            </w:r>
          </w:p>
        </w:tc>
        <w:tc>
          <w:tcPr>
            <w:tcW w:type="dxa" w:w="1608"/>
          </w:tcPr>
          <w:p>
            <w:r>
              <w:t>Owner, freshness, provenance, access rules</w:t>
            </w:r>
          </w:p>
        </w:tc>
        <w:tc>
          <w:tcPr>
            <w:tcW w:type="dxa" w:w="1608"/>
          </w:tcPr>
          <w:p>
            <w:r>
              <w:t>Generic query builder</w:t>
            </w:r>
          </w:p>
        </w:tc>
      </w:tr>
      <w:tr>
        <w:tc>
          <w:tcPr>
            <w:tcW w:type="dxa" w:w="1608"/>
          </w:tcPr>
          <w:p>
            <w:r>
              <w:t>Subscriber Contracts</w:t>
            </w:r>
          </w:p>
        </w:tc>
        <w:tc>
          <w:tcPr>
            <w:tcW w:type="dxa" w:w="1608"/>
          </w:tcPr>
          <w:p>
            <w:r>
              <w:t>Who receives what, by channel and why</w:t>
            </w:r>
          </w:p>
        </w:tc>
        <w:tc>
          <w:tcPr>
            <w:tcW w:type="dxa" w:w="1608"/>
          </w:tcPr>
          <w:p>
            <w:r>
              <w:t>Identity; preferences; event vocabulary</w:t>
            </w:r>
          </w:p>
        </w:tc>
        <w:tc>
          <w:tcPr>
            <w:tcW w:type="dxa" w:w="1608"/>
          </w:tcPr>
          <w:p>
            <w:r>
              <w:t>Divergent audiences; unsafe defaults</w:t>
            </w:r>
          </w:p>
        </w:tc>
        <w:tc>
          <w:tcPr>
            <w:tcW w:type="dxa" w:w="1608"/>
          </w:tcPr>
          <w:p>
            <w:r>
              <w:t>Consent, suppression, purpose, audit</w:t>
            </w:r>
          </w:p>
        </w:tc>
        <w:tc>
          <w:tcPr>
            <w:tcW w:type="dxa" w:w="1608"/>
          </w:tcPr>
          <w:p>
            <w:r>
              <w:t>High-volume campaigns</w:t>
            </w:r>
          </w:p>
        </w:tc>
      </w:tr>
      <w:tr>
        <w:tc>
          <w:tcPr>
            <w:tcW w:type="dxa" w:w="1608"/>
          </w:tcPr>
          <w:p>
            <w:r>
              <w:t>Relationship Graph</w:t>
            </w:r>
          </w:p>
        </w:tc>
        <w:tc>
          <w:tcPr>
            <w:tcW w:type="dxa" w:w="1608"/>
          </w:tcPr>
          <w:p>
            <w:r>
              <w:t>Bounded, reviewable relationships</w:t>
            </w:r>
          </w:p>
        </w:tc>
        <w:tc>
          <w:tcPr>
            <w:tcW w:type="dxa" w:w="1608"/>
          </w:tcPr>
          <w:p>
            <w:r>
              <w:t>Identity; terms; moderation</w:t>
            </w:r>
          </w:p>
        </w:tc>
        <w:tc>
          <w:tcPr>
            <w:tcW w:type="dxa" w:w="1608"/>
          </w:tcPr>
          <w:p>
            <w:r>
              <w:t>False inference; graph explosion</w:t>
            </w:r>
          </w:p>
        </w:tc>
        <w:tc>
          <w:tcPr>
            <w:tcW w:type="dxa" w:w="1608"/>
          </w:tcPr>
          <w:p>
            <w:r>
              <w:t>Typed edges, provenance, confidence, expiry</w:t>
            </w:r>
          </w:p>
        </w:tc>
        <w:tc>
          <w:tcPr>
            <w:tcW w:type="dxa" w:w="1608"/>
          </w:tcPr>
          <w:p>
            <w:r>
              <w:t>Autonomous social graph</w:t>
            </w:r>
          </w:p>
        </w:tc>
      </w:tr>
      <w:tr>
        <w:tc>
          <w:tcPr>
            <w:tcW w:type="dxa" w:w="1608"/>
          </w:tcPr>
          <w:p>
            <w:r>
              <w:t>User Interest Model</w:t>
            </w:r>
          </w:p>
        </w:tc>
        <w:tc>
          <w:tcPr>
            <w:tcW w:type="dxa" w:w="1608"/>
          </w:tcPr>
          <w:p>
            <w:r>
              <w:t>Stated, classified, and cautious inferred interests</w:t>
            </w:r>
          </w:p>
        </w:tc>
        <w:tc>
          <w:tcPr>
            <w:tcW w:type="dxa" w:w="1608"/>
          </w:tcPr>
          <w:p>
            <w:r>
              <w:t>Terms; profiles; consent</w:t>
            </w:r>
          </w:p>
        </w:tc>
        <w:tc>
          <w:tcPr>
            <w:tcW w:type="dxa" w:w="1608"/>
          </w:tcPr>
          <w:p>
            <w:r>
              <w:t>Stale or over-personalized signals</w:t>
            </w:r>
          </w:p>
        </w:tc>
        <w:tc>
          <w:tcPr>
            <w:tcW w:type="dxa" w:w="1608"/>
          </w:tcPr>
          <w:p>
            <w:r>
              <w:t>Source and recency visible; correction</w:t>
            </w:r>
          </w:p>
        </w:tc>
        <w:tc>
          <w:tcPr>
            <w:tcW w:type="dxa" w:w="1608"/>
          </w:tcPr>
          <w:p>
            <w:r>
              <w:t>Opaque scoring</w:t>
            </w:r>
          </w:p>
        </w:tc>
      </w:tr>
      <w:tr>
        <w:tc>
          <w:tcPr>
            <w:tcW w:type="dxa" w:w="1608"/>
          </w:tcPr>
          <w:p>
            <w:r>
              <w:t>Onboarding</w:t>
            </w:r>
          </w:p>
        </w:tc>
        <w:tc>
          <w:tcPr>
            <w:tcW w:type="dxa" w:w="1608"/>
          </w:tcPr>
          <w:p>
            <w:r>
              <w:t>Progressive context and permission capture</w:t>
            </w:r>
          </w:p>
        </w:tc>
        <w:tc>
          <w:tcPr>
            <w:tcW w:type="dxa" w:w="1608"/>
          </w:tcPr>
          <w:p>
            <w:r>
              <w:t>Profile; interests; communications</w:t>
            </w:r>
          </w:p>
        </w:tc>
        <w:tc>
          <w:tcPr>
            <w:tcW w:type="dxa" w:w="1608"/>
          </w:tcPr>
          <w:p>
            <w:r>
              <w:t>Consent fatigue</w:t>
            </w:r>
          </w:p>
        </w:tc>
        <w:tc>
          <w:tcPr>
            <w:tcW w:type="dxa" w:w="1608"/>
          </w:tcPr>
          <w:p>
            <w:r>
              <w:t>Useful first session; reversible choices</w:t>
            </w:r>
          </w:p>
        </w:tc>
        <w:tc>
          <w:tcPr>
            <w:tcW w:type="dxa" w:w="1608"/>
          </w:tcPr>
          <w:p>
            <w:r>
              <w:t>Full preference center</w:t>
            </w:r>
          </w:p>
        </w:tc>
      </w:tr>
      <w:tr>
        <w:tc>
          <w:tcPr>
            <w:tcW w:type="dxa" w:w="1608"/>
          </w:tcPr>
          <w:p>
            <w:r>
              <w:t>Communications Platform</w:t>
            </w:r>
          </w:p>
        </w:tc>
        <w:tc>
          <w:tcPr>
            <w:tcW w:type="dxa" w:w="1608"/>
          </w:tcPr>
          <w:p>
            <w:r>
              <w:t>Notification intent, delivery policy, preferences, audit</w:t>
            </w:r>
          </w:p>
        </w:tc>
        <w:tc>
          <w:tcPr>
            <w:tcW w:type="dxa" w:w="1608"/>
          </w:tcPr>
          <w:p>
            <w:r>
              <w:t>Subscribers; events; provider boundary</w:t>
            </w:r>
          </w:p>
        </w:tc>
        <w:tc>
          <w:tcPr>
            <w:tcW w:type="dxa" w:w="1608"/>
          </w:tcPr>
          <w:p>
            <w:r>
              <w:t>Spam; duplicates; abuse</w:t>
            </w:r>
          </w:p>
        </w:tc>
        <w:tc>
          <w:tcPr>
            <w:tcW w:type="dxa" w:w="1608"/>
          </w:tcPr>
          <w:p>
            <w:r>
              <w:t>Suppression-first idempotent model</w:t>
            </w:r>
          </w:p>
        </w:tc>
        <w:tc>
          <w:tcPr>
            <w:tcW w:type="dxa" w:w="1608"/>
          </w:tcPr>
          <w:p>
            <w:r>
              <w:t>Autonomous campaigns</w:t>
            </w:r>
          </w:p>
        </w:tc>
      </w:tr>
      <w:tr>
        <w:tc>
          <w:tcPr>
            <w:tcW w:type="dxa" w:w="1608"/>
          </w:tcPr>
          <w:p>
            <w:r>
              <w:t>Job Center Integration</w:t>
            </w:r>
          </w:p>
        </w:tc>
        <w:tc>
          <w:tcPr>
            <w:tcW w:type="dxa" w:w="1608"/>
          </w:tcPr>
          <w:p>
            <w:r>
              <w:t>Relevant discovery without moving job authority</w:t>
            </w:r>
          </w:p>
        </w:tc>
        <w:tc>
          <w:tcPr>
            <w:tcW w:type="dxa" w:w="1608"/>
          </w:tcPr>
          <w:p>
            <w:r>
              <w:t>Jobs contracts; Views; mapping</w:t>
            </w:r>
          </w:p>
        </w:tc>
        <w:tc>
          <w:tcPr>
            <w:tcW w:type="dxa" w:w="1608"/>
          </w:tcPr>
          <w:p>
            <w:r>
              <w:t>Classification mistaken for authorization</w:t>
            </w:r>
          </w:p>
        </w:tc>
        <w:tc>
          <w:tcPr>
            <w:tcW w:type="dxa" w:w="1608"/>
          </w:tcPr>
          <w:p>
            <w:r>
              <w:t>Read-only pilot with provenance</w:t>
            </w:r>
          </w:p>
        </w:tc>
        <w:tc>
          <w:tcPr>
            <w:tcW w:type="dxa" w:w="1608"/>
          </w:tcPr>
          <w:p>
            <w:r>
              <w:t>Rebuilding Jobs</w:t>
            </w:r>
          </w:p>
        </w:tc>
      </w:tr>
      <w:tr>
        <w:tc>
          <w:tcPr>
            <w:tcW w:type="dxa" w:w="1608"/>
          </w:tcPr>
          <w:p>
            <w:r>
              <w:t>Chatboard Integration</w:t>
            </w:r>
          </w:p>
        </w:tc>
        <w:tc>
          <w:tcPr>
            <w:tcW w:type="dxa" w:w="1608"/>
          </w:tcPr>
          <w:p>
            <w:r>
              <w:t>Safe identity and membership mapping</w:t>
            </w:r>
          </w:p>
        </w:tc>
        <w:tc>
          <w:tcPr>
            <w:tcW w:type="dxa" w:w="1608"/>
          </w:tcPr>
          <w:p>
            <w:r>
              <w:t>Legacy invariants; census; moderation</w:t>
            </w:r>
          </w:p>
        </w:tc>
        <w:tc>
          <w:tcPr>
            <w:tcW w:type="dxa" w:w="1608"/>
          </w:tcPr>
          <w:p>
            <w:r>
              <w:t>Path/group confusion</w:t>
            </w:r>
          </w:p>
        </w:tc>
        <w:tc>
          <w:tcPr>
            <w:tcW w:type="dxa" w:w="1608"/>
          </w:tcPr>
          <w:p>
            <w:r>
              <w:t>Bounded cohort reconciliation</w:t>
            </w:r>
          </w:p>
        </w:tc>
        <w:tc>
          <w:tcPr>
            <w:tcW w:type="dxa" w:w="1608"/>
          </w:tcPr>
          <w:p>
            <w:r>
              <w:t>Global remapping</w:t>
            </w:r>
          </w:p>
        </w:tc>
      </w:tr>
      <w:tr>
        <w:tc>
          <w:tcPr>
            <w:tcW w:type="dxa" w:w="1608"/>
          </w:tcPr>
          <w:p>
            <w:r>
              <w:t>Recommendation Engine</w:t>
            </w:r>
          </w:p>
        </w:tc>
        <w:tc>
          <w:tcPr>
            <w:tcW w:type="dxa" w:w="1608"/>
          </w:tcPr>
          <w:p>
            <w:r>
              <w:t>Explainable ranking of eligible content</w:t>
            </w:r>
          </w:p>
        </w:tc>
        <w:tc>
          <w:tcPr>
            <w:tcW w:type="dxa" w:w="1608"/>
          </w:tcPr>
          <w:p>
            <w:r>
              <w:t>Interests; Views; relationships; suppression</w:t>
            </w:r>
          </w:p>
        </w:tc>
        <w:tc>
          <w:tcPr>
            <w:tcW w:type="dxa" w:w="1608"/>
          </w:tcPr>
          <w:p>
            <w:r>
              <w:t>Opaque or discriminatory ranking</w:t>
            </w:r>
          </w:p>
        </w:tc>
        <w:tc>
          <w:tcPr>
            <w:tcW w:type="dxa" w:w="1608"/>
          </w:tcPr>
          <w:p>
            <w:r>
              <w:t>Reason codes; controls; evaluation</w:t>
            </w:r>
          </w:p>
        </w:tc>
        <w:tc>
          <w:tcPr>
            <w:tcW w:type="dxa" w:w="1608"/>
          </w:tcPr>
          <w:p>
            <w:r>
              <w:t>General AI recommender</w:t>
            </w:r>
          </w:p>
        </w:tc>
      </w:tr>
      <w:tr>
        <w:tc>
          <w:tcPr>
            <w:tcW w:type="dxa" w:w="1608"/>
          </w:tcPr>
          <w:p>
            <w:r>
              <w:t>Governance</w:t>
            </w:r>
          </w:p>
        </w:tc>
        <w:tc>
          <w:tcPr>
            <w:tcW w:type="dxa" w:w="1608"/>
          </w:tcPr>
          <w:p>
            <w:r>
              <w:t>Durable decisions, ownership, and review</w:t>
            </w:r>
          </w:p>
        </w:tc>
        <w:tc>
          <w:tcPr>
            <w:tcW w:type="dxa" w:w="1608"/>
          </w:tcPr>
          <w:p>
            <w:r>
              <w:t>Docs; ADRs; authority</w:t>
            </w:r>
          </w:p>
        </w:tc>
        <w:tc>
          <w:tcPr>
            <w:tcW w:type="dxa" w:w="1608"/>
          </w:tcPr>
          <w:p>
            <w:r>
              <w:t>Decision drift</w:t>
            </w:r>
          </w:p>
        </w:tc>
        <w:tc>
          <w:tcPr>
            <w:tcW w:type="dxa" w:w="1608"/>
          </w:tcPr>
          <w:p>
            <w:r>
              <w:t>Cursor, handoff, ADR, approval</w:t>
            </w:r>
          </w:p>
        </w:tc>
        <w:tc>
          <w:tcPr>
            <w:tcW w:type="dxa" w:w="1608"/>
          </w:tcPr>
          <w:p>
            <w:r>
              <w:t>Governance without gates</w:t>
            </w:r>
          </w:p>
        </w:tc>
      </w:tr>
      <w:tr>
        <w:tc>
          <w:tcPr>
            <w:tcW w:type="dxa" w:w="1608"/>
          </w:tcPr>
          <w:p>
            <w:r>
              <w:t>Migration</w:t>
            </w:r>
          </w:p>
        </w:tc>
        <w:tc>
          <w:tcPr>
            <w:tcW w:type="dxa" w:w="1608"/>
          </w:tcPr>
          <w:p>
            <w:r>
              <w:t>Reversible movement or derivation in slices</w:t>
            </w:r>
          </w:p>
        </w:tc>
        <w:tc>
          <w:tcPr>
            <w:tcW w:type="dxa" w:w="1608"/>
          </w:tcPr>
          <w:p>
            <w:r>
              <w:t>Inventory; backups; rollback</w:t>
            </w:r>
          </w:p>
        </w:tc>
        <w:tc>
          <w:tcPr>
            <w:tcW w:type="dxa" w:w="1608"/>
          </w:tcPr>
          <w:p>
            <w:r>
              <w:t>Irreversible side effects</w:t>
            </w:r>
          </w:p>
        </w:tc>
        <w:tc>
          <w:tcPr>
            <w:tcW w:type="dxa" w:w="1608"/>
          </w:tcPr>
          <w:p>
            <w:r>
              <w:t>Dry run, checksum, reconciliation</w:t>
            </w:r>
          </w:p>
        </w:tc>
        <w:tc>
          <w:tcPr>
            <w:tcW w:type="dxa" w:w="1608"/>
          </w:tcPr>
          <w:p>
            <w:r>
              <w:t>Big-bang migration</w:t>
            </w:r>
          </w:p>
        </w:tc>
      </w:tr>
    </w:tbl>
    <w:p/>
    <w:p>
      <w:pPr>
        <w:pStyle w:val="Heading1"/>
      </w:pPr>
      <w:r>
        <w:t>Recommended Project Sequence</w:t>
      </w:r>
    </w:p>
    <w:p>
      <w:r>
        <w:t>The ordering moves from authority to contracts, then to pilots, then to automation. This prevents an attractive interface or model from becoming the de facto architecture.</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shd w:fill="D9E2F3"/>
          </w:tcPr>
          <w:p>
            <w:r>
              <w:rPr>
                <w:b/>
              </w:rPr>
              <w:t>Phase</w:t>
            </w:r>
          </w:p>
        </w:tc>
        <w:tc>
          <w:tcPr>
            <w:tcW w:type="dxa" w:w="1930"/>
            <w:shd w:fill="D9E2F3"/>
          </w:tcPr>
          <w:p>
            <w:r>
              <w:rPr>
                <w:b/>
              </w:rPr>
              <w:t>Objective</w:t>
            </w:r>
          </w:p>
        </w:tc>
        <w:tc>
          <w:tcPr>
            <w:tcW w:type="dxa" w:w="1930"/>
            <w:shd w:fill="D9E2F3"/>
          </w:tcPr>
          <w:p>
            <w:r>
              <w:rPr>
                <w:b/>
              </w:rPr>
              <w:t>Deliverables</w:t>
            </w:r>
          </w:p>
        </w:tc>
        <w:tc>
          <w:tcPr>
            <w:tcW w:type="dxa" w:w="1930"/>
            <w:shd w:fill="D9E2F3"/>
          </w:tcPr>
          <w:p>
            <w:r>
              <w:rPr>
                <w:b/>
              </w:rPr>
              <w:t>Validation / exit criteria</w:t>
            </w:r>
          </w:p>
        </w:tc>
        <w:tc>
          <w:tcPr>
            <w:tcW w:type="dxa" w:w="1930"/>
            <w:shd w:fill="D9E2F3"/>
          </w:tcPr>
          <w:p>
            <w:r>
              <w:rPr>
                <w:b/>
              </w:rPr>
              <w:t>Dependencies / exclusions</w:t>
            </w:r>
          </w:p>
        </w:tc>
      </w:tr>
      <w:tr>
        <w:tc>
          <w:tcPr>
            <w:tcW w:type="dxa" w:w="1930"/>
          </w:tcPr>
          <w:p>
            <w:r>
              <w:t>0 — Authority and vocabulary</w:t>
            </w:r>
          </w:p>
        </w:tc>
        <w:tc>
          <w:tcPr>
            <w:tcW w:type="dxa" w:w="1930"/>
          </w:tcPr>
          <w:p>
            <w:r>
              <w:t>Boundaries, invariants, ownership, glossary, open decisions</w:t>
            </w:r>
          </w:p>
        </w:tc>
        <w:tc>
          <w:tcPr>
            <w:tcW w:type="dxa" w:w="1930"/>
          </w:tcPr>
          <w:p>
            <w:r>
              <w:t>Working draft; authority matrix; ADR register</w:t>
            </w:r>
          </w:p>
        </w:tc>
        <w:tc>
          <w:tcPr>
            <w:tcW w:type="dxa" w:w="1930"/>
          </w:tcPr>
          <w:p>
            <w:r>
              <w:t>Contradiction scan and cross-document review</w:t>
            </w:r>
          </w:p>
        </w:tc>
        <w:tc>
          <w:tcPr>
            <w:tcW w:type="dxa" w:w="1930"/>
          </w:tcPr>
          <w:p>
            <w:r>
              <w:t>Approved authority set and stop conditions</w:t>
            </w:r>
          </w:p>
        </w:tc>
      </w:tr>
      <w:tr>
        <w:tc>
          <w:tcPr>
            <w:tcW w:type="dxa" w:w="1930"/>
          </w:tcPr>
          <w:p>
            <w:r>
              <w:t>1 — Contracts and safe seams</w:t>
            </w:r>
          </w:p>
        </w:tc>
        <w:tc>
          <w:tcPr>
            <w:tcW w:type="dxa" w:w="1930"/>
          </w:tcPr>
          <w:p>
            <w:r>
              <w:t>Term, View, subscriber, relationship, interest contracts</w:t>
            </w:r>
          </w:p>
        </w:tc>
        <w:tc>
          <w:tcPr>
            <w:tcW w:type="dxa" w:w="1930"/>
          </w:tcPr>
          <w:p>
            <w:r>
              <w:t>Contract cards; samples; privacy and suppression rules</w:t>
            </w:r>
          </w:p>
        </w:tc>
        <w:tc>
          <w:tcPr>
            <w:tcW w:type="dxa" w:w="1930"/>
          </w:tcPr>
          <w:p>
            <w:r>
              <w:t>Schema review and designed fixtures</w:t>
            </w:r>
          </w:p>
        </w:tc>
        <w:tc>
          <w:tcPr>
            <w:tcW w:type="dxa" w:w="1930"/>
          </w:tcPr>
          <w:p>
            <w:r>
              <w:t>Owner, provenance, lifecycle, consumer boundary for every field</w:t>
            </w:r>
          </w:p>
        </w:tc>
      </w:tr>
      <w:tr>
        <w:tc>
          <w:tcPr>
            <w:tcW w:type="dxa" w:w="1930"/>
          </w:tcPr>
          <w:p>
            <w:r>
              <w:t>2 — Bounded Job Center View</w:t>
            </w:r>
          </w:p>
        </w:tc>
        <w:tc>
          <w:tcPr>
            <w:tcW w:type="dxa" w:w="1930"/>
          </w:tcPr>
          <w:p>
            <w:r>
              <w:t>Prove narrow read-only semantic consumption</w:t>
            </w:r>
          </w:p>
        </w:tc>
        <w:tc>
          <w:tcPr>
            <w:tcW w:type="dxa" w:w="1930"/>
          </w:tcPr>
          <w:p>
            <w:r>
              <w:t>One View; mapping; provenance; freshness</w:t>
            </w:r>
          </w:p>
        </w:tc>
        <w:tc>
          <w:tcPr>
            <w:tcW w:type="dxa" w:w="1930"/>
          </w:tcPr>
          <w:p>
            <w:r>
              <w:t>Manual reconciliation and stale-data review</w:t>
            </w:r>
          </w:p>
        </w:tc>
        <w:tc>
          <w:tcPr>
            <w:tcW w:type="dxa" w:w="1930"/>
          </w:tcPr>
          <w:p>
            <w:r>
              <w:t>Value shown without moving job authority</w:t>
            </w:r>
          </w:p>
        </w:tc>
      </w:tr>
      <w:tr>
        <w:tc>
          <w:tcPr>
            <w:tcW w:type="dxa" w:w="1930"/>
          </w:tcPr>
          <w:p>
            <w:r>
              <w:t>3 — Community mapping and relationships</w:t>
            </w:r>
          </w:p>
        </w:tc>
        <w:tc>
          <w:tcPr>
            <w:tcW w:type="dxa" w:w="1930"/>
          </w:tcPr>
          <w:p>
            <w:r>
              <w:t>Map one cohort and test typed proposals</w:t>
            </w:r>
          </w:p>
        </w:tc>
        <w:tc>
          <w:tcPr>
            <w:tcW w:type="dxa" w:w="1930"/>
          </w:tcPr>
          <w:p>
            <w:r>
              <w:t>Census; path/group invariant; review queue</w:t>
            </w:r>
          </w:p>
        </w:tc>
        <w:tc>
          <w:tcPr>
            <w:tcW w:type="dxa" w:w="1930"/>
          </w:tcPr>
          <w:p>
            <w:r>
              <w:t>Human review and false-positive analysis</w:t>
            </w:r>
          </w:p>
        </w:tc>
        <w:tc>
          <w:tcPr>
            <w:tcW w:type="dxa" w:w="1930"/>
          </w:tcPr>
          <w:p>
            <w:r>
              <w:t>Explainable, reversible reconciliation</w:t>
            </w:r>
          </w:p>
        </w:tc>
      </w:tr>
      <w:tr>
        <w:tc>
          <w:tcPr>
            <w:tcW w:type="dxa" w:w="1930"/>
          </w:tcPr>
          <w:p>
            <w:r>
              <w:t>4 — Communications and recommendation proof</w:t>
            </w:r>
          </w:p>
        </w:tc>
        <w:tc>
          <w:tcPr>
            <w:tcW w:type="dxa" w:w="1930"/>
          </w:tcPr>
          <w:p>
            <w:r>
              <w:t>Test preference-aware intent and explainable results</w:t>
            </w:r>
          </w:p>
        </w:tc>
        <w:tc>
          <w:tcPr>
            <w:tcW w:type="dxa" w:w="1930"/>
          </w:tcPr>
          <w:p>
            <w:r>
              <w:t>Subscriber contract; suppression; reason codes</w:t>
            </w:r>
          </w:p>
        </w:tc>
        <w:tc>
          <w:tcPr>
            <w:tcW w:type="dxa" w:w="1930"/>
          </w:tcPr>
          <w:p>
            <w:r>
              <w:t>Abuse, duplicate-send, opt-out review</w:t>
            </w:r>
          </w:p>
        </w:tc>
        <w:tc>
          <w:tcPr>
            <w:tcW w:type="dxa" w:w="1930"/>
          </w:tcPr>
          <w:p>
            <w:r>
              <w:t>Small pilot is safe, measurable, stoppable</w:t>
            </w:r>
          </w:p>
        </w:tc>
      </w:tr>
      <w:tr>
        <w:tc>
          <w:tcPr>
            <w:tcW w:type="dxa" w:w="1930"/>
          </w:tcPr>
          <w:p>
            <w:r>
              <w:t>5 — Product adoption</w:t>
            </w:r>
          </w:p>
        </w:tc>
        <w:tc>
          <w:tcPr>
            <w:tcW w:type="dxa" w:w="1930"/>
          </w:tcPr>
          <w:p>
            <w:r>
              <w:t>Adopt proven contracts product by product</w:t>
            </w:r>
          </w:p>
        </w:tc>
        <w:tc>
          <w:tcPr>
            <w:tcW w:type="dxa" w:w="1930"/>
          </w:tcPr>
          <w:p>
            <w:r>
              <w:t>Release decisions; runbooks; support</w:t>
            </w:r>
          </w:p>
        </w:tc>
        <w:tc>
          <w:tcPr>
            <w:tcW w:type="dxa" w:w="1930"/>
          </w:tcPr>
          <w:p>
            <w:r>
              <w:t>Canary, reconciliation, rollback, deprecation</w:t>
            </w:r>
          </w:p>
        </w:tc>
        <w:tc>
          <w:tcPr>
            <w:tcW w:type="dxa" w:w="1930"/>
          </w:tcPr>
          <w:p>
            <w:r>
              <w:t>Products retain authority and can leave</w:t>
            </w:r>
          </w:p>
        </w:tc>
      </w:tr>
    </w:tbl>
    <w:p/>
    <w:p>
      <w:r>
        <w:t>Rationale: authority prevents vocabulary drift; contracts prevent shared-table coupling; Jobs proves practical value with bounded risk; Community exercises identity and review complexity; communications and recommendations inherit controls instead of inventing them under pressure.</w:t>
      </w:r>
    </w:p>
    <w:p>
      <w:pPr>
        <w:pStyle w:val="Heading1"/>
      </w:pPr>
      <w:r>
        <w:t>Pilot Recommendations</w:t>
      </w:r>
    </w:p>
    <w:p>
      <w:pPr>
        <w:pStyle w:val="Heading2"/>
      </w:pPr>
      <w:r>
        <w:t>Job Center View</w:t>
      </w:r>
    </w:p>
    <w:p>
      <w:r>
        <w:t>Use a narrow discovery use case. Jobs remains authoritative for facts, employer authority, lifecycle, and applications.</w:t>
      </w:r>
    </w:p>
    <w:p>
      <w:pPr>
        <w:pStyle w:val="Heading2"/>
      </w:pPr>
      <w:r>
        <w:t>Chatboard mapping</w:t>
      </w:r>
    </w:p>
    <w:p>
      <w:r>
        <w:t>Use one cohort and preserve path/group, membership, and notification as separate decisions.</w:t>
      </w:r>
    </w:p>
    <w:p>
      <w:pPr>
        <w:pStyle w:val="Heading2"/>
      </w:pPr>
      <w:r>
        <w:t>Relationship discovery</w:t>
      </w:r>
    </w:p>
    <w:p>
      <w:r>
        <w:t>Propose typed edges with source, confidence, review state, and expiry; require human disposition.</w:t>
      </w:r>
    </w:p>
    <w:p>
      <w:pPr>
        <w:pStyle w:val="Heading2"/>
      </w:pPr>
      <w:r>
        <w:t>Communications preference</w:t>
      </w:r>
    </w:p>
    <w:p>
      <w:r>
        <w:t>Test one purpose and channel with opt-in, suppression, unsubscribe, quiet period, and audit.</w:t>
      </w:r>
    </w:p>
    <w:p>
      <w:pPr>
        <w:pStyle w:val="Heading2"/>
      </w:pPr>
      <w:r>
        <w:t>Recommendation proof</w:t>
      </w:r>
    </w:p>
    <w:p>
      <w:r>
        <w:t>Return few results with reason codes; let reviewers and users correct the reason.</w:t>
      </w:r>
    </w:p>
    <w:p>
      <w:pPr>
        <w:pStyle w:val="Heading1"/>
      </w:pPr>
      <w:r>
        <w:t>Governance Strategy</w:t>
      </w:r>
    </w:p>
    <w:p>
      <w:pPr>
        <w:pStyle w:val="ListBullet"/>
      </w:pPr>
      <w:r>
        <w:t>Durable architecture and decisions stay in repository docs; Project Cursor and Engineering Handoff record durable state.</w:t>
      </w:r>
    </w:p>
    <w:p>
      <w:pPr>
        <w:pStyle w:val="ListBullet"/>
      </w:pPr>
      <w:r>
        <w:t>ADRs record authority, alternatives, consequences, reversibility, and non-goals; supersede rather than silently rewrite.</w:t>
      </w:r>
    </w:p>
    <w:p>
      <w:pPr>
        <w:pStyle w:val="ListBullet"/>
      </w:pPr>
      <w:r>
        <w:t>Contracts version independently from releases, with compatibility windows and deprecation dates.</w:t>
      </w:r>
    </w:p>
    <w:p>
      <w:pPr>
        <w:pStyle w:val="ListBullet"/>
      </w:pPr>
      <w:r>
        <w:t>Domain owners review boundary crossings for Jobs, Core Terms, Community, Communications, identity, and privacy.</w:t>
      </w:r>
    </w:p>
    <w:p>
      <w:pPr>
        <w:pStyle w:val="ListBullet"/>
      </w:pPr>
      <w:r>
        <w:t>Every consumer names source of truth, fields, freshness, failure behavior, and rollback path.</w:t>
      </w:r>
    </w:p>
    <w:p>
      <w:pPr>
        <w:pStyle w:val="ListBullet"/>
      </w:pPr>
      <w:r>
        <w:t>Inferred relationships remain proposals until policy and human review permit activation.</w:t>
      </w:r>
    </w:p>
    <w:p>
      <w:pPr>
        <w:pStyle w:val="ListBullet"/>
      </w:pPr>
      <w:r>
        <w:t>Portable Views move through draft, pilot, active, deprecated, and retired states; each has owner and retirement plan.</w:t>
      </w:r>
    </w:p>
    <w:p>
      <w:pPr>
        <w:pStyle w:val="Heading1"/>
      </w:pPr>
      <w:r>
        <w:t>Risk Analysis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fill="D9E2F3"/>
          </w:tcPr>
          <w:p>
            <w:r>
              <w:rPr>
                <w:b/>
              </w:rPr>
              <w:t>Risk</w:t>
            </w:r>
          </w:p>
        </w:tc>
        <w:tc>
          <w:tcPr>
            <w:tcW w:type="dxa" w:w="3216"/>
            <w:shd w:fill="D9E2F3"/>
          </w:tcPr>
          <w:p>
            <w:r>
              <w:rPr>
                <w:b/>
              </w:rPr>
              <w:t>Why it matters</w:t>
            </w:r>
          </w:p>
        </w:tc>
        <w:tc>
          <w:tcPr>
            <w:tcW w:type="dxa" w:w="3216"/>
            <w:shd w:fill="D9E2F3"/>
          </w:tcPr>
          <w:p>
            <w:r>
              <w:rPr>
                <w:b/>
              </w:rPr>
              <w:t>Mitigation</w:t>
            </w:r>
          </w:p>
        </w:tc>
      </w:tr>
      <w:tr>
        <w:tc>
          <w:tcPr>
            <w:tcW w:type="dxa" w:w="3216"/>
          </w:tcPr>
          <w:p>
            <w:r>
              <w:t>Taxonomy drift</w:t>
            </w:r>
          </w:p>
        </w:tc>
        <w:tc>
          <w:tcPr>
            <w:tcW w:type="dxa" w:w="3216"/>
          </w:tcPr>
          <w:p>
            <w:r>
              <w:t>Products assume old meanings.</w:t>
            </w:r>
          </w:p>
        </w:tc>
        <w:tc>
          <w:tcPr>
            <w:tcW w:type="dxa" w:w="3216"/>
          </w:tcPr>
          <w:p>
            <w:r>
              <w:t>Version semantics, owner review, mapping history.</w:t>
            </w:r>
          </w:p>
        </w:tc>
      </w:tr>
      <w:tr>
        <w:tc>
          <w:tcPr>
            <w:tcW w:type="dxa" w:w="3216"/>
          </w:tcPr>
          <w:p>
            <w:r>
              <w:t>Subscriber divergence</w:t>
            </w:r>
          </w:p>
        </w:tc>
        <w:tc>
          <w:tcPr>
            <w:tcW w:type="dxa" w:w="3216"/>
          </w:tcPr>
          <w:p>
            <w:r>
              <w:t>Products create inconsistent audiences.</w:t>
            </w:r>
          </w:p>
        </w:tc>
        <w:tc>
          <w:tcPr>
            <w:tcW w:type="dxa" w:w="3216"/>
          </w:tcPr>
          <w:p>
            <w:r>
              <w:t>One contract with purpose, channel, suppression, audit.</w:t>
            </w:r>
          </w:p>
        </w:tc>
      </w:tr>
      <w:tr>
        <w:tc>
          <w:tcPr>
            <w:tcW w:type="dxa" w:w="3216"/>
          </w:tcPr>
          <w:p>
            <w:r>
              <w:t>Relationship explosion</w:t>
            </w:r>
          </w:p>
        </w:tc>
        <w:tc>
          <w:tcPr>
            <w:tcW w:type="dxa" w:w="3216"/>
          </w:tcPr>
          <w:p>
            <w:r>
              <w:t>Weak signals create noise.</w:t>
            </w:r>
          </w:p>
        </w:tc>
        <w:tc>
          <w:tcPr>
            <w:tcW w:type="dxa" w:w="3216"/>
          </w:tcPr>
          <w:p>
            <w:r>
              <w:t>Typed edges, confidence, expiry, review thresholds.</w:t>
            </w:r>
          </w:p>
        </w:tc>
      </w:tr>
      <w:tr>
        <w:tc>
          <w:tcPr>
            <w:tcW w:type="dxa" w:w="3216"/>
          </w:tcPr>
          <w:p>
            <w:r>
              <w:t>Premature automation</w:t>
            </w:r>
          </w:p>
        </w:tc>
        <w:tc>
          <w:tcPr>
            <w:tcW w:type="dxa" w:w="3216"/>
          </w:tcPr>
          <w:p>
            <w:r>
              <w:t>Inference changes access or sends mail.</w:t>
            </w:r>
          </w:p>
        </w:tc>
        <w:tc>
          <w:tcPr>
            <w:tcW w:type="dxa" w:w="3216"/>
          </w:tcPr>
          <w:p>
            <w:r>
              <w:t>Human review, dry runs, kill switches.</w:t>
            </w:r>
          </w:p>
        </w:tc>
      </w:tr>
      <w:tr>
        <w:tc>
          <w:tcPr>
            <w:tcW w:type="dxa" w:w="3216"/>
          </w:tcPr>
          <w:p>
            <w:r>
              <w:t>Over-personalization</w:t>
            </w:r>
          </w:p>
        </w:tc>
        <w:tc>
          <w:tcPr>
            <w:tcW w:type="dxa" w:w="3216"/>
          </w:tcPr>
          <w:p>
            <w:r>
              <w:t>Users cannot understand or correct results.</w:t>
            </w:r>
          </w:p>
        </w:tc>
        <w:tc>
          <w:tcPr>
            <w:tcW w:type="dxa" w:w="3216"/>
          </w:tcPr>
          <w:p>
            <w:r>
              <w:t>Reason codes, controls, opt-out, evaluation.</w:t>
            </w:r>
          </w:p>
        </w:tc>
      </w:tr>
      <w:tr>
        <w:tc>
          <w:tcPr>
            <w:tcW w:type="dxa" w:w="3216"/>
          </w:tcPr>
          <w:p>
            <w:r>
              <w:t>Migration complexity</w:t>
            </w:r>
          </w:p>
        </w:tc>
        <w:tc>
          <w:tcPr>
            <w:tcW w:type="dxa" w:w="3216"/>
          </w:tcPr>
          <w:p>
            <w:r>
              <w:t>Legacy side effects are hidden.</w:t>
            </w:r>
          </w:p>
        </w:tc>
        <w:tc>
          <w:tcPr>
            <w:tcW w:type="dxa" w:w="3216"/>
          </w:tcPr>
          <w:p>
            <w:r>
              <w:t>Inventory, checksums, canaries, reconciliation, rollback.</w:t>
            </w:r>
          </w:p>
        </w:tc>
      </w:tr>
      <w:tr>
        <w:tc>
          <w:tcPr>
            <w:tcW w:type="dxa" w:w="3216"/>
          </w:tcPr>
          <w:p>
            <w:r>
              <w:t>Legacy compatibility</w:t>
            </w:r>
          </w:p>
        </w:tc>
        <w:tc>
          <w:tcPr>
            <w:tcW w:type="dxa" w:w="3216"/>
          </w:tcPr>
          <w:p>
            <w:r>
              <w:t>Adapters become permanent coupling.</w:t>
            </w:r>
          </w:p>
        </w:tc>
        <w:tc>
          <w:tcPr>
            <w:tcW w:type="dxa" w:w="3216"/>
          </w:tcPr>
          <w:p>
            <w:r>
              <w:t>Sunset criteria and boundary review.</w:t>
            </w:r>
          </w:p>
        </w:tc>
      </w:tr>
      <w:tr>
        <w:tc>
          <w:tcPr>
            <w:tcW w:type="dxa" w:w="3216"/>
          </w:tcPr>
          <w:p>
            <w:r>
              <w:t>Scope creep</w:t>
            </w:r>
          </w:p>
        </w:tc>
        <w:tc>
          <w:tcPr>
            <w:tcW w:type="dxa" w:w="3216"/>
          </w:tcPr>
          <w:p>
            <w:r>
              <w:t>Platform absorbs every concern.</w:t>
            </w:r>
          </w:p>
        </w:tc>
        <w:tc>
          <w:tcPr>
            <w:tcW w:type="dxa" w:w="3216"/>
          </w:tcPr>
          <w:p>
            <w:r>
              <w:t>Authority matrix, phase gates, exclusions.</w:t>
            </w:r>
          </w:p>
        </w:tc>
      </w:tr>
      <w:tr>
        <w:tc>
          <w:tcPr>
            <w:tcW w:type="dxa" w:w="3216"/>
          </w:tcPr>
          <w:p>
            <w:r>
              <w:t>AI labor waste</w:t>
            </w:r>
          </w:p>
        </w:tc>
        <w:tc>
          <w:tcPr>
            <w:tcW w:type="dxa" w:w="3216"/>
          </w:tcPr>
          <w:p>
            <w:r>
              <w:t>Sessions rediscover state or act without authority.</w:t>
            </w:r>
          </w:p>
        </w:tc>
        <w:tc>
          <w:tcPr>
            <w:tcW w:type="dxa" w:w="3216"/>
          </w:tcPr>
          <w:p>
            <w:r>
              <w:t>Cursor, handoff, context bootstrap, ticket discipline.</w:t>
            </w:r>
          </w:p>
        </w:tc>
      </w:tr>
    </w:tbl>
    <w:p/>
    <w:p>
      <w:pPr>
        <w:pStyle w:val="Heading1"/>
      </w:pPr>
      <w:r>
        <w:t>Long-Term Vision</w:t>
      </w:r>
    </w:p>
    <w:p>
      <w:r>
        <w:t>Jobs, Lesson Bank, Community, Communications, Marketplace, Professional Development, Search, and Recommendations should interoperate through explicit contracts while retaining application ownership. Jobs can use Core Terms for classification without surrendering job or employer authority. Community can publish reviewed group and relationship Views. Communications can select eligible subscribers without owning product facts. Search and recommendations can consume approved Views and reason-coded interests.</w:t>
      </w:r>
    </w:p>
    <w:p>
      <w:r>
        <w:t>The semantic layer must not become a universal write authority or a giant product. Future products such as mentoring, events, resource exchange, or professional portfolios must state what they own, publish, consume, and how users control the relationship.</w:t>
      </w:r>
    </w:p>
    <w:p>
      <w:pPr>
        <w:pStyle w:val="Heading1"/>
      </w:pPr>
      <w:r>
        <w:t>Suggested Immediate Next Actions</w:t>
      </w:r>
    </w:p>
    <w:p>
      <w:pPr>
        <w:pStyle w:val="ListNumber"/>
      </w:pPr>
      <w:r>
        <w:t>Approve this approach as a planning companion, or record revisions as an ADR.</w:t>
      </w:r>
    </w:p>
    <w:p>
      <w:pPr>
        <w:pStyle w:val="ListNumber"/>
      </w:pPr>
      <w:r>
        <w:t>Create the authority matrix and glossary for Core Terms, Jobs, Community, Communications, identity, and preference data.</w:t>
      </w:r>
    </w:p>
    <w:p>
      <w:pPr>
        <w:pStyle w:val="ListNumber"/>
      </w:pPr>
      <w:r>
        <w:t>Write contract cards for one Portable View, one subscriber purpose, one relationship type, and one stated-interest signal.</w:t>
      </w:r>
    </w:p>
    <w:p>
      <w:pPr>
        <w:pStyle w:val="ListNumber"/>
      </w:pPr>
      <w:r>
        <w:t>Define the Job Center cohort, evidence set, reviewers, and exit criteria without implementing it.</w:t>
      </w:r>
    </w:p>
    <w:p>
      <w:pPr>
        <w:pStyle w:val="ListNumber"/>
      </w:pPr>
      <w:r>
        <w:t>Define the chatboard census and reconciliation questions while preserving path_id/group_id separation.</w:t>
      </w:r>
    </w:p>
    <w:p>
      <w:pPr>
        <w:pStyle w:val="ListNumber"/>
      </w:pPr>
      <w:r>
        <w:t>Document suppression, unsubscribe, quiet-period, audit, and safe re-engagement requirements.</w:t>
      </w:r>
    </w:p>
    <w:p>
      <w:pPr>
        <w:pStyle w:val="ListNumber"/>
      </w:pPr>
      <w:r>
        <w:t>Record open decisions for consent, relationship activation, freshness, retention, correction, and opt-out.</w:t>
      </w:r>
    </w:p>
    <w:p>
      <w:pPr>
        <w:pStyle w:val="ListNumber"/>
      </w:pPr>
      <w:r>
        <w:t>Do not code, migrate, redesign production UI, or alter production data until authority documents and pilot contracts are approved.</w:t>
      </w:r>
    </w:p>
    <w:p>
      <w:pPr>
        <w:pStyle w:val="Heading1"/>
      </w:pPr>
      <w:r>
        <w:t>Assumptions and Open Decisions</w:t>
      </w:r>
    </w:p>
    <w:p>
      <w:r>
        <w:t>This approach assumes the existing repository, Community 3.0 draft, Core Terms authority, Job Center contracts, and verified legacy identity invariants remain governing evidence. It does not assume current notification behavior, profile data, or inferred interests are safe to reuse without current audit.</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fill="D9E2F3"/>
          </w:tcPr>
          <w:p>
            <w:r>
              <w:rPr>
                <w:b/>
              </w:rPr>
              <w:t>Decision</w:t>
            </w:r>
          </w:p>
        </w:tc>
        <w:tc>
          <w:tcPr>
            <w:tcW w:type="dxa" w:w="3216"/>
            <w:shd w:fill="D9E2F3"/>
          </w:tcPr>
          <w:p>
            <w:r>
              <w:rPr>
                <w:b/>
              </w:rPr>
              <w:t>Why material</w:t>
            </w:r>
          </w:p>
        </w:tc>
        <w:tc>
          <w:tcPr>
            <w:tcW w:type="dxa" w:w="3216"/>
            <w:shd w:fill="D9E2F3"/>
          </w:tcPr>
          <w:p>
            <w:r>
              <w:rPr>
                <w:b/>
              </w:rPr>
              <w:t>Recommended default</w:t>
            </w:r>
          </w:p>
        </w:tc>
      </w:tr>
      <w:tr>
        <w:tc>
          <w:tcPr>
            <w:tcW w:type="dxa" w:w="3216"/>
          </w:tcPr>
          <w:p>
            <w:r>
              <w:t>Who approves inferred relationships?</w:t>
            </w:r>
          </w:p>
        </w:tc>
        <w:tc>
          <w:tcPr>
            <w:tcW w:type="dxa" w:w="3216"/>
          </w:tcPr>
          <w:p>
            <w:r>
              <w:t>May affect access or notification.</w:t>
            </w:r>
          </w:p>
        </w:tc>
        <w:tc>
          <w:tcPr>
            <w:tcW w:type="dxa" w:w="3216"/>
          </w:tcPr>
          <w:p>
            <w:r>
              <w:t>Human review before activation.</w:t>
            </w:r>
          </w:p>
        </w:tc>
      </w:tr>
      <w:tr>
        <w:tc>
          <w:tcPr>
            <w:tcW w:type="dxa" w:w="3216"/>
          </w:tcPr>
          <w:p>
            <w:r>
              <w:t>How long are signals retained?</w:t>
            </w:r>
          </w:p>
        </w:tc>
        <w:tc>
          <w:tcPr>
            <w:tcW w:type="dxa" w:w="3216"/>
          </w:tcPr>
          <w:p>
            <w:r>
              <w:t>Stale interests mislead.</w:t>
            </w:r>
          </w:p>
        </w:tc>
        <w:tc>
          <w:tcPr>
            <w:tcW w:type="dxa" w:w="3216"/>
          </w:tcPr>
          <w:p>
            <w:r>
              <w:t>Source-specific retention and visible recency.</w:t>
            </w:r>
          </w:p>
        </w:tc>
      </w:tr>
      <w:tr>
        <w:tc>
          <w:tcPr>
            <w:tcW w:type="dxa" w:w="3216"/>
          </w:tcPr>
          <w:p>
            <w:r>
              <w:t>Can users correct/delete an edge?</w:t>
            </w:r>
          </w:p>
        </w:tc>
        <w:tc>
          <w:tcPr>
            <w:tcW w:type="dxa" w:w="3216"/>
          </w:tcPr>
          <w:p>
            <w:r>
              <w:t>Trust requires agency.</w:t>
            </w:r>
          </w:p>
        </w:tc>
        <w:tc>
          <w:tcPr>
            <w:tcW w:type="dxa" w:w="3216"/>
          </w:tcPr>
          <w:p>
            <w:r>
              <w:t>Yes, with auditable disposition.</w:t>
            </w:r>
          </w:p>
        </w:tc>
      </w:tr>
      <w:tr>
        <w:tc>
          <w:tcPr>
            <w:tcW w:type="dxa" w:w="3216"/>
          </w:tcPr>
          <w:p>
            <w:r>
              <w:t>What is pilot evidence?</w:t>
            </w:r>
          </w:p>
        </w:tc>
        <w:tc>
          <w:tcPr>
            <w:tcW w:type="dxa" w:w="3216"/>
          </w:tcPr>
          <w:p>
            <w:r>
              <w:t>Avoids demo success becoming architecture.</w:t>
            </w:r>
          </w:p>
        </w:tc>
        <w:tc>
          <w:tcPr>
            <w:tcW w:type="dxa" w:w="3216"/>
          </w:tcPr>
          <w:p>
            <w:r>
              <w:t>Defined cohort, baseline, errors, stop criteria.</w:t>
            </w:r>
          </w:p>
        </w:tc>
      </w:tr>
    </w:tbl>
    <w:p/>
    <w:p>
      <w:pPr>
        <w:pStyle w:val="Heading1"/>
      </w:pPr>
      <w:r>
        <w:t>Validation and Handoff</w:t>
      </w:r>
    </w:p>
    <w:p>
      <w:r>
        <w:t>Before implementation, review the authority matrix, contract cards, pilot scope, risk controls, and exclusions as one package. Future Codex sessions should load the canonical Community 3.0 draft, this approach document, the active Project Cursor, and Engineering Handoff before acting. Any implementation ticket must name the approved contract or ADR it advances and the boundary it must not cross.</w:t>
      </w:r>
    </w:p>
    <w:p>
      <w:r>
        <w:t>The canonical Markdown remains the source-faithful architecture and context record. This Word document is the strategic approach and execution sequence for moving from that architecture toward evidence-backed implementation.</w:t>
      </w:r>
    </w:p>
    <w:sectPr w:rsidR="00FC693F" w:rsidRPr="0006063C" w:rsidSect="00034616">
      <w:headerReference w:type="default" r:id="rId9"/>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Strategic engineering approach  •  July 2026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1F4E79"/>
      </w:rPr>
      <w:t>TEACHERS.NET  |  COMMUNITY 3.0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eastAsia="Calibri"/>
      <w:b/>
      <w:bCs/>
      <w:color w:val="1F4D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