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Teachers.Net Semantic Platform —</w:t>
        <w:br/>
        <w:t>Project Approach and Execution Plan</w:t>
      </w:r>
    </w:p>
    <w:p>
      <w:pPr>
        <w:jc w:val="center"/>
      </w:pPr>
      <w:r>
        <w:rPr>
          <w:i/>
          <w:sz w:val="26"/>
        </w:rPr>
        <w:t>A strategic engineering approach for responsible platform evolution</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fill="EAF1F8"/>
            <w:vAlign w:val="center"/>
          </w:tcPr>
          <w:p>
            <w:r>
              <w:rPr>
                <w:b/>
              </w:rPr>
              <w:t>Document status</w:t>
            </w:r>
          </w:p>
        </w:tc>
        <w:tc>
          <w:tcPr>
            <w:tcW w:type="dxa" w:w="3120"/>
            <w:shd w:fill="EAF1F8"/>
            <w:vAlign w:val="center"/>
          </w:tcPr>
          <w:p>
            <w:r>
              <w:rPr>
                <w:b/>
              </w:rPr>
              <w:t>Audience</w:t>
            </w:r>
          </w:p>
        </w:tc>
        <w:tc>
          <w:tcPr>
            <w:tcW w:type="dxa" w:w="3120"/>
            <w:shd w:fill="EAF1F8"/>
            <w:vAlign w:val="center"/>
          </w:tcPr>
          <w:p>
            <w:r>
              <w:rPr>
                <w:b/>
              </w:rPr>
              <w:t>Use</w:t>
            </w:r>
          </w:p>
        </w:tc>
      </w:tr>
      <w:tr>
        <w:tc>
          <w:tcPr>
            <w:tcW w:type="dxa" w:w="3120"/>
            <w:vAlign w:val="center"/>
          </w:tcPr>
          <w:p>
            <w:r>
              <w:t>Working strategic approach</w:t>
            </w:r>
          </w:p>
        </w:tc>
        <w:tc>
          <w:tcPr>
            <w:tcW w:type="dxa" w:w="3120"/>
            <w:vAlign w:val="center"/>
          </w:tcPr>
          <w:p>
            <w:r>
              <w:t>Engineering Director; future ChatGPT sessions; Codex; future engineers; product planning</w:t>
            </w:r>
          </w:p>
        </w:tc>
        <w:tc>
          <w:tcPr>
            <w:tcW w:type="dxa" w:w="3120"/>
            <w:vAlign w:val="center"/>
          </w:tcPr>
          <w:p>
            <w:r>
              <w:t>Companion to the canonical Community 3.0 architecture working draft</w:t>
            </w:r>
          </w:p>
        </w:tc>
      </w:tr>
    </w:tbl>
    <w:p>
      <w:pPr>
        <w:spacing w:after="20"/>
      </w:pPr>
    </w:p>
    <w:p>
      <w:r>
        <w:rPr>
          <w:b/>
          <w:color w:val="1F4E79"/>
        </w:rPr>
        <w:t xml:space="preserve">Boundary:  </w:t>
      </w:r>
      <w:r>
        <w:t>This is not an implementation plan. It provides reasoning, sequencing, governance, and pilot criteria. It authorizes no code, database change, production UI redesign, production migration, or deployment.</w:t>
      </w:r>
    </w:p>
    <w:p>
      <w:r>
        <w:t>The central architectural proposition is that Teachers.Net can share meaning without sharing ownership. Core Terms can provide stable semantic classification; Jobs can remain authoritative for jobs and employer decisions; Community can remain authoritative for membership and moderation; Communications can coordinate policy and delivery without becoming the owner of product facts.</w:t>
      </w:r>
    </w:p>
    <w:p>
      <w:r>
        <w:br w:type="page"/>
      </w:r>
    </w:p>
    <w:p>
      <w:pPr>
        <w:pStyle w:val="Heading1"/>
      </w:pPr>
      <w:r>
        <w:t>Contents</w:t>
      </w:r>
    </w:p>
    <w:p>
      <w:pPr>
        <w:pStyle w:val="ListBullet"/>
      </w:pPr>
      <w:r>
        <w:t>Executive Summary</w:t>
      </w:r>
    </w:p>
    <w:p>
      <w:pPr>
        <w:pStyle w:val="ListBullet"/>
      </w:pPr>
      <w:r>
        <w:t>1. Guiding Engineering Principles</w:t>
      </w:r>
    </w:p>
    <w:p>
      <w:pPr>
        <w:pStyle w:val="ListBullet"/>
      </w:pPr>
      <w:r>
        <w:t>2. Current State Assessment</w:t>
      </w:r>
    </w:p>
    <w:p>
      <w:pPr>
        <w:pStyle w:val="ListBullet"/>
      </w:pPr>
      <w:r>
        <w:t>3. Architecture in Plain Terms</w:t>
      </w:r>
    </w:p>
    <w:p>
      <w:pPr>
        <w:pStyle w:val="ListBullet"/>
      </w:pPr>
      <w:r>
        <w:t>4. Workstream Approach</w:t>
      </w:r>
    </w:p>
    <w:p>
      <w:pPr>
        <w:pStyle w:val="ListBullet"/>
      </w:pPr>
      <w:r>
        <w:t>5. Recommended Project Sequence</w:t>
      </w:r>
    </w:p>
    <w:p>
      <w:pPr>
        <w:pStyle w:val="ListBullet"/>
      </w:pPr>
      <w:r>
        <w:t>6. Pilot Recommendations</w:t>
      </w:r>
    </w:p>
    <w:p>
      <w:pPr>
        <w:pStyle w:val="ListBullet"/>
      </w:pPr>
      <w:r>
        <w:t>7. Governance Strategy</w:t>
      </w:r>
    </w:p>
    <w:p>
      <w:pPr>
        <w:pStyle w:val="ListBullet"/>
      </w:pPr>
      <w:r>
        <w:t>8. Risk Analysis</w:t>
      </w:r>
    </w:p>
    <w:p>
      <w:pPr>
        <w:pStyle w:val="ListBullet"/>
      </w:pPr>
      <w:r>
        <w:t>9. Long-Term Vision</w:t>
      </w:r>
    </w:p>
    <w:p>
      <w:pPr>
        <w:pStyle w:val="ListBullet"/>
      </w:pPr>
      <w:r>
        <w:t>10. Suggested Immediate Next Actions</w:t>
      </w:r>
    </w:p>
    <w:p>
      <w:pPr>
        <w:pStyle w:val="ListBullet"/>
      </w:pPr>
      <w:r>
        <w:t>Appendix A — Decision Vocabulary</w:t>
      </w:r>
    </w:p>
    <w:p>
      <w:pPr>
        <w:pStyle w:val="ListBullet"/>
      </w:pPr>
      <w:r>
        <w:t>Appendix B — Validation and Handoff</w:t>
      </w:r>
    </w:p>
    <w:p>
      <w:r>
        <w:t>The contents list is intentionally populated as document navigation. Heading styles are applied throughout so Word can also generate a field-based table of contents when a publishing workflow requires page-number fields.</w:t>
      </w:r>
    </w:p>
    <w:p>
      <w:pPr>
        <w:pStyle w:val="Heading1"/>
      </w:pPr>
      <w:r>
        <w:t>Executive Summary</w:t>
      </w:r>
    </w:p>
    <w:p>
      <w:r>
        <w:t>Teachers.Net should evolve as a family of bounded products connected by explicit semantic, relationship, and communications contracts. The objective is not to centralize every data model. It is to make shared meaning reusable while keeping authority legible. A job remains a Job Center object. A chatboard remains a Community object. A communication event remains grounded in the product that produced it. A term can classify all three without owning any of them.</w:t>
      </w:r>
    </w:p>
    <w:p>
      <w:r>
        <w:t>The most important design move is to separate structures that are often collapsed into one taxonomy. Canonical hierarchy answers what a concept is. A Portable View answers how a governed subset is presented to a particular subscriber. A subscriber policy answers how that subscriber may select it. A relationship answers what approved concepts connect and why. Behavioral affinity records what appears related from evidence, with confidence and expiry. Consent answers whether a person may receive a communication. These structures cooperate, but they must not silently substitute for one another.</w:t>
      </w:r>
    </w:p>
    <w:p>
      <w:r>
        <w:t>The approach therefore begins with authority documents and contract cards, not code. It then proves a narrow Job Center View, maps a bounded chatboard cohort, proposes relationships for human review, and tests one communications purpose with suppression and audit. Recommendations and broader automation are downstream of those proofs. This ordering is slower at the front and faster over the life of the program because it prevents every product from inventing its own interpretation of identity, interest, membership, and notification eligibility.</w:t>
      </w:r>
    </w:p>
    <w:p>
      <w:r>
        <w:rPr>
          <w:b/>
          <w:color w:val="1F4E79"/>
        </w:rPr>
        <w:t xml:space="preserve">Recommended posture:  </w:t>
      </w:r>
      <w:r>
        <w:t>Treat the semantic platform as a governed set of reusable boundaries, not as a new application that absorbs Jobs, Community, Lesson Bank, Communications, Marketplace, or Professional Development.</w:t>
      </w:r>
    </w:p>
    <w:p>
      <w:pPr>
        <w:pStyle w:val="Heading1"/>
      </w:pPr>
      <w:r>
        <w:t>1. Guiding Engineering Principles</w:t>
      </w:r>
    </w:p>
    <w:p>
      <w:pPr>
        <w:pStyle w:val="ListBullet"/>
      </w:pPr>
      <w:r>
        <w:t>Terms classify. Jobs authorizes. WordPress authenticates. The phrase is a boundary test, not a slogan.</w:t>
      </w:r>
    </w:p>
    <w:p>
      <w:pPr>
        <w:pStyle w:val="ListBullet"/>
      </w:pPr>
      <w:r>
        <w:t>Canonical facts, derived classifications, relationships, preferences, and recommendations have different lifecycles and owners.</w:t>
      </w:r>
    </w:p>
    <w:p>
      <w:pPr>
        <w:pStyle w:val="ListBullet"/>
      </w:pPr>
      <w:r>
        <w:t>A View references canonical terms; it does not copy or fork canonical identity.</w:t>
      </w:r>
    </w:p>
    <w:p>
      <w:pPr>
        <w:pStyle w:val="ListBullet"/>
      </w:pPr>
      <w:r>
        <w:t>Membership, interest, behavior, consent, and publication remain distinct even when one is evidence for another.</w:t>
      </w:r>
    </w:p>
    <w:p>
      <w:pPr>
        <w:pStyle w:val="ListBullet"/>
      </w:pPr>
      <w:r>
        <w:t>Machines may discover and propose. Humans govern canonical relationships and any inference that can affect access or notification.</w:t>
      </w:r>
    </w:p>
    <w:p>
      <w:pPr>
        <w:pStyle w:val="ListBullet"/>
      </w:pPr>
      <w:r>
        <w:t>Communications decisions fail closed when moderation, identity, consent, suppression, or eligibility is uncertain.</w:t>
      </w:r>
    </w:p>
    <w:p>
      <w:pPr>
        <w:pStyle w:val="ListBullet"/>
      </w:pPr>
      <w:r>
        <w:t>Every migration or promotion has a dry run, evidence record, rollback path, and explicit stop condition.</w:t>
      </w:r>
    </w:p>
    <w:p>
      <w:pPr>
        <w:pStyle w:val="ListBullet"/>
      </w:pPr>
      <w:r>
        <w:t>Legacy compatibility is a bounded adapter responsibility. It is not a mandate to preserve every accidental behavior or to make legacy tables the future authority.</w:t>
      </w:r>
    </w:p>
    <w:p>
      <w:r>
        <w:t>These principles also protect future engineering sessions. A session that sees a term selector should ask whether it is a View. A session that sees a mailing list should ask which subscriber policy and consent history qualify a recipient. A session that sees a group mapping should ask whether it is identity reconciliation, membership evidence, or a communication subscription. Naming the structure before writing code is a practical control against architectural drift.</w:t>
      </w:r>
    </w:p>
    <w:p>
      <w:pPr>
        <w:pStyle w:val="Heading1"/>
      </w:pPr>
      <w:r>
        <w:t>2. Current State Assessment</w:t>
      </w:r>
    </w:p>
    <w:p>
      <w:pPr>
        <w:pStyle w:val="Heading2"/>
      </w:pPr>
      <w:r>
        <w:t>Core Terms</w:t>
      </w:r>
    </w:p>
    <w:p>
      <w:r>
        <w:t>Core Terms is the shared classification/runtime, API, editor, compiler, archive, and semantic authority capability. Its visible product name is Core Terms and its repository identity remains `profilaxes`. It should provide reusable concepts and governed relationships without becoming the authority for product workflow. Membership Taxonomy remains a separate curation and human-review workstream, not a Core Terms rename.</w:t>
      </w:r>
    </w:p>
    <w:p>
      <w:pPr>
        <w:pStyle w:val="Heading2"/>
      </w:pPr>
      <w:r>
        <w:t>Job Center</w:t>
      </w:r>
    </w:p>
    <w:p>
      <w:r>
        <w:t>The Job Center owns job facts, source provenance, employer authority, lifecycle, locations, publication rules, and application integrity. Core Terms can classify jobs, subjects, grades, roles, populations, and related dimensions. A term does not establish an employer claim; a View does not grant permission; a classification does not replace Jobs authorization.</w:t>
      </w:r>
    </w:p>
    <w:p>
      <w:pPr>
        <w:pStyle w:val="Heading2"/>
      </w:pPr>
      <w:r>
        <w:t>Chatboards, groups, and identity</w:t>
      </w:r>
    </w:p>
    <w:p>
      <w:r>
        <w:t>Legacy teacher-group identity requires a durable distinction between a chatboard path and a group record. The path_id != group_id invariant is not an implementation detail: it prevents a local URL or historical surface from being mistaken for the canonical group identity. Mapping must preserve old IDs, URLs, labels, descriptions, active state, moderator state, and provenance. Membership and notification eligibility are separate decisions.</w:t>
      </w:r>
    </w:p>
    <w:p>
      <w:pPr>
        <w:pStyle w:val="Heading2"/>
      </w:pPr>
      <w:r>
        <w:t>Profiles, onboarding, and communications</w:t>
      </w:r>
    </w:p>
    <w:p>
      <w:r>
        <w:t>Profiles and onboarding can collect explicit interests and professional dimensions. They can also produce behavioral evidence such as membership, reading, posting, search, saved jobs, or engagement. Evidence may support an inferred interest, but it is not automatically consent. Communications needs a policy and delivery boundary around events, preferences, suppression, moderation, limits, deduplication, and audit; it is not a mail-template folder and not a replacement for product ownership.</w:t>
      </w:r>
    </w:p>
    <w:p>
      <w:pPr>
        <w:pStyle w:val="Heading1"/>
      </w:pPr>
      <w:r>
        <w:t>3. Architecture in Plain Terms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fill="EAF1F8"/>
            <w:vAlign w:val="center"/>
          </w:tcPr>
          <w:p>
            <w:r>
              <w:rPr>
                <w:b/>
              </w:rPr>
              <w:t>Structure</w:t>
            </w:r>
          </w:p>
        </w:tc>
        <w:tc>
          <w:tcPr>
            <w:tcW w:type="dxa" w:w="3120"/>
            <w:shd w:fill="EAF1F8"/>
            <w:vAlign w:val="center"/>
          </w:tcPr>
          <w:p>
            <w:r>
              <w:rPr>
                <w:b/>
              </w:rPr>
              <w:t>Question answered</w:t>
            </w:r>
          </w:p>
        </w:tc>
        <w:tc>
          <w:tcPr>
            <w:tcW w:type="dxa" w:w="3120"/>
            <w:shd w:fill="EAF1F8"/>
            <w:vAlign w:val="center"/>
          </w:tcPr>
          <w:p>
            <w:r>
              <w:rPr>
                <w:b/>
              </w:rPr>
              <w:t>What it must not become</w:t>
            </w:r>
          </w:p>
        </w:tc>
      </w:tr>
      <w:tr>
        <w:tc>
          <w:tcPr>
            <w:tcW w:type="dxa" w:w="3120"/>
            <w:vAlign w:val="center"/>
          </w:tcPr>
          <w:p>
            <w:r>
              <w:t>Canonical hierarchy</w:t>
            </w:r>
          </w:p>
        </w:tc>
        <w:tc>
          <w:tcPr>
            <w:tcW w:type="dxa" w:w="3120"/>
            <w:vAlign w:val="center"/>
          </w:tcPr>
          <w:p>
            <w:r>
              <w:t>What is this concept, and what is its governed parent/child structure?</w:t>
            </w:r>
          </w:p>
        </w:tc>
        <w:tc>
          <w:tcPr>
            <w:tcW w:type="dxa" w:w="3120"/>
            <w:vAlign w:val="center"/>
          </w:tcPr>
          <w:p>
            <w:r>
              <w:t>A product-specific workflow tree.</w:t>
            </w:r>
          </w:p>
        </w:tc>
      </w:tr>
      <w:tr>
        <w:tc>
          <w:tcPr>
            <w:tcW w:type="dxa" w:w="3120"/>
            <w:vAlign w:val="center"/>
          </w:tcPr>
          <w:p>
            <w:r>
              <w:t>Portable View</w:t>
            </w:r>
          </w:p>
        </w:tc>
        <w:tc>
          <w:tcPr>
            <w:tcW w:type="dxa" w:w="3120"/>
            <w:vAlign w:val="center"/>
          </w:tcPr>
          <w:p>
            <w:r>
              <w:t>How should a subscriber present a governed subset?</w:t>
            </w:r>
          </w:p>
        </w:tc>
        <w:tc>
          <w:tcPr>
            <w:tcW w:type="dxa" w:w="3120"/>
            <w:vAlign w:val="center"/>
          </w:tcPr>
          <w:p>
            <w:r>
              <w:t>A forked taxonomy or hidden source of truth.</w:t>
            </w:r>
          </w:p>
        </w:tc>
      </w:tr>
      <w:tr>
        <w:tc>
          <w:tcPr>
            <w:tcW w:type="dxa" w:w="3120"/>
            <w:vAlign w:val="center"/>
          </w:tcPr>
          <w:p>
            <w:r>
              <w:t>Subscriber policy</w:t>
            </w:r>
          </w:p>
        </w:tc>
        <w:tc>
          <w:tcPr>
            <w:tcW w:type="dxa" w:w="3120"/>
            <w:vAlign w:val="center"/>
          </w:tcPr>
          <w:p>
            <w:r>
              <w:t>How may this user or workflow select the presented options?</w:t>
            </w:r>
          </w:p>
        </w:tc>
        <w:tc>
          <w:tcPr>
            <w:tcW w:type="dxa" w:w="3120"/>
            <w:vAlign w:val="center"/>
          </w:tcPr>
          <w:p>
            <w:r>
              <w:t>Ownership of canonical terms.</w:t>
            </w:r>
          </w:p>
        </w:tc>
      </w:tr>
      <w:tr>
        <w:tc>
          <w:tcPr>
            <w:tcW w:type="dxa" w:w="3120"/>
            <w:vAlign w:val="center"/>
          </w:tcPr>
          <w:p>
            <w:r>
              <w:t>Semantic relationship</w:t>
            </w:r>
          </w:p>
        </w:tc>
        <w:tc>
          <w:tcPr>
            <w:tcW w:type="dxa" w:w="3120"/>
            <w:vAlign w:val="center"/>
          </w:tcPr>
          <w:p>
            <w:r>
              <w:t>What approved concept connects to this one, and why?</w:t>
            </w:r>
          </w:p>
        </w:tc>
        <w:tc>
          <w:tcPr>
            <w:tcW w:type="dxa" w:w="3120"/>
            <w:vAlign w:val="center"/>
          </w:tcPr>
          <w:p>
            <w:r>
              <w:t>An accidental parent/child hierarchy.</w:t>
            </w:r>
          </w:p>
        </w:tc>
      </w:tr>
      <w:tr>
        <w:tc>
          <w:tcPr>
            <w:tcW w:type="dxa" w:w="3120"/>
            <w:vAlign w:val="center"/>
          </w:tcPr>
          <w:p>
            <w:r>
              <w:t>Behavioral affinity</w:t>
            </w:r>
          </w:p>
        </w:tc>
        <w:tc>
          <w:tcPr>
            <w:tcW w:type="dxa" w:w="3120"/>
            <w:vAlign w:val="center"/>
          </w:tcPr>
          <w:p>
            <w:r>
              <w:t>What appears related from observed evidence, with what confidence and expiry?</w:t>
            </w:r>
          </w:p>
        </w:tc>
        <w:tc>
          <w:tcPr>
            <w:tcW w:type="dxa" w:w="3120"/>
            <w:vAlign w:val="center"/>
          </w:tcPr>
          <w:p>
            <w:r>
              <w:t>A public label or automatic consent.</w:t>
            </w:r>
          </w:p>
        </w:tc>
      </w:tr>
      <w:tr>
        <w:tc>
          <w:tcPr>
            <w:tcW w:type="dxa" w:w="3120"/>
            <w:vAlign w:val="center"/>
          </w:tcPr>
          <w:p>
            <w:r>
              <w:t>Communication subscription</w:t>
            </w:r>
          </w:p>
        </w:tc>
        <w:tc>
          <w:tcPr>
            <w:tcW w:type="dxa" w:w="3120"/>
            <w:vAlign w:val="center"/>
          </w:tcPr>
          <w:p>
            <w:r>
              <w:t>May this recipient receive this purpose/category/event?</w:t>
            </w:r>
          </w:p>
        </w:tc>
        <w:tc>
          <w:tcPr>
            <w:tcW w:type="dxa" w:w="3120"/>
            <w:vAlign w:val="center"/>
          </w:tcPr>
          <w:p>
            <w:r>
              <w:t>Proof of interest or membership.</w:t>
            </w:r>
          </w:p>
        </w:tc>
      </w:tr>
    </w:tbl>
    <w:p>
      <w:pPr>
        <w:spacing w:after="20"/>
      </w:pPr>
    </w:p>
    <w:p>
      <w:r>
        <w:t>This distinction is the foundation for responsible reuse. “Special Education” can be a canonical concept used by Jobs, Lesson Bank, chatboards, profiles, and communications categories. Each subscriber may present it differently. A Job Center employer picker may require one primary subject and allow three supporting subjects. Onboarding may allow a broader set. Communications may offer an understandable category without exposing arbitrary event selection. The term remains the same; the policy and View differ.</w:t>
      </w:r>
    </w:p>
    <w:p>
      <w:pPr>
        <w:pStyle w:val="Heading1"/>
      </w:pPr>
      <w:r>
        <w:t>4. Workstream Approach</w:t>
      </w:r>
    </w:p>
    <w:p>
      <w:pPr>
        <w:pStyle w:val="Heading2"/>
      </w:pPr>
      <w:r>
        <w:t>4.1 Core Terms</w:t>
      </w:r>
    </w:p>
    <w:p>
      <w:r>
        <w:rPr>
          <w:b/>
          <w:color w:val="1F4E79"/>
        </w:rPr>
        <w:t xml:space="preserve">Purpose:  </w:t>
      </w:r>
      <w:r>
        <w:t>Purpose</w:t>
      </w:r>
    </w:p>
    <w:p>
      <w:r>
        <w:rPr>
          <w:b/>
          <w:color w:val="1F4E79"/>
        </w:rPr>
        <w:t xml:space="preserve">Dependencies:  </w:t>
      </w:r>
      <w:r>
        <w:t>Keep concepts, aliases, hierarchy, archival state, and governed relationships stable enough for multiple subscribers. The shared layer should answer semantic questions, not decide whether an employer may publish a job or whether a recipient may receive email.</w:t>
      </w:r>
    </w:p>
    <w:p>
      <w:r>
        <w:rPr>
          <w:b/>
          <w:color w:val="1F4E79"/>
        </w:rPr>
        <w:t xml:space="preserve">Risks:  </w:t>
      </w:r>
      <w:r>
        <w:t>Dependencies</w:t>
      </w:r>
    </w:p>
    <w:p>
      <w:r>
        <w:rPr>
          <w:b/>
          <w:color w:val="1F4E79"/>
        </w:rPr>
        <w:t xml:space="preserve">Success and deferral:  </w:t>
      </w:r>
      <w:r>
        <w:t>Existing Core Terms authority, terminology glossary, relationship governance, product ownership matrix.</w:t>
      </w:r>
    </w:p>
    <w:p>
      <w:pPr>
        <w:pStyle w:val="Heading2"/>
      </w:pPr>
      <w:r>
        <w:t>4.2 Portable Views</w:t>
      </w:r>
    </w:p>
    <w:p>
      <w:r>
        <w:rPr>
          <w:b/>
          <w:color w:val="1F4E79"/>
        </w:rPr>
        <w:t xml:space="preserve">Purpose:  </w:t>
      </w:r>
      <w:r>
        <w:t>Purpose</w:t>
      </w:r>
    </w:p>
    <w:p>
      <w:r>
        <w:rPr>
          <w:b/>
          <w:color w:val="1F4E79"/>
        </w:rPr>
        <w:t xml:space="preserve">Dependencies:  </w:t>
      </w:r>
      <w:r>
        <w:t>A View is a named reusable projection over canonical terms. It may define included and excluded terms, order, grouping, local display nesting, featured or hidden items, labels, presentation hints, version, status, and subscriber bindings. It references terms; it does not copy their canonical identity.</w:t>
      </w:r>
    </w:p>
    <w:p>
      <w:r>
        <w:rPr>
          <w:b/>
          <w:color w:val="1F4E79"/>
        </w:rPr>
        <w:t xml:space="preserve">Risks:  </w:t>
      </w:r>
      <w:r>
        <w:t>Dependencies</w:t>
      </w:r>
    </w:p>
    <w:p>
      <w:r>
        <w:rPr>
          <w:b/>
          <w:color w:val="1F4E79"/>
        </w:rPr>
        <w:t xml:space="preserve">Success and deferral:  </w:t>
      </w:r>
      <w:r>
        <w:t>Core Terms IDs and semantics, subscriber contracts, access policy, preview/publish/rollback lifecycle, impact analysis.</w:t>
      </w:r>
    </w:p>
    <w:p>
      <w:pPr>
        <w:pStyle w:val="Heading2"/>
      </w:pPr>
      <w:r>
        <w:t>4.3 Subscriber Selection Policies</w:t>
      </w:r>
    </w:p>
    <w:p>
      <w:r>
        <w:rPr>
          <w:b/>
          <w:color w:val="1F4E79"/>
        </w:rPr>
        <w:t xml:space="preserve">Purpose:  </w:t>
      </w:r>
      <w:r>
        <w:t>Purpose</w:t>
      </w:r>
    </w:p>
    <w:p>
      <w:r>
        <w:rPr>
          <w:b/>
          <w:color w:val="1F4E79"/>
        </w:rPr>
        <w:t xml:space="preserve">Dependencies:  </w:t>
      </w:r>
      <w:r>
        <w:t>Views define what is presented; policies define how a user or product may select it. Policies can specify required and optional fields, single versus multi-select, maximum counts, display labels, validation, and workflow timing. Subscribers own selection and presentation policy within their contract, not the canonical options.</w:t>
      </w:r>
    </w:p>
    <w:p>
      <w:r>
        <w:rPr>
          <w:b/>
          <w:color w:val="1F4E79"/>
        </w:rPr>
        <w:t xml:space="preserve">Risks:  </w:t>
      </w:r>
      <w:r>
        <w:t>Dependencies</w:t>
      </w:r>
    </w:p>
    <w:p>
      <w:r>
        <w:rPr>
          <w:b/>
          <w:color w:val="1F4E79"/>
        </w:rPr>
        <w:t xml:space="preserve">Success and deferral:  </w:t>
      </w:r>
      <w:r>
        <w:t>Portable Views, product workflow, consent language where relevant, validation and version rules.</w:t>
      </w:r>
    </w:p>
    <w:p>
      <w:pPr>
        <w:pStyle w:val="Heading2"/>
      </w:pPr>
      <w:r>
        <w:t>4.4 Chatboard and Group Mapping</w:t>
      </w:r>
    </w:p>
    <w:p>
      <w:r>
        <w:rPr>
          <w:b/>
          <w:color w:val="1F4E79"/>
        </w:rPr>
        <w:t xml:space="preserve">Purpose:  </w:t>
      </w:r>
      <w:r>
        <w:t>Purpose</w:t>
      </w:r>
    </w:p>
    <w:p>
      <w:r>
        <w:rPr>
          <w:b/>
          <w:color w:val="1F4E79"/>
        </w:rPr>
        <w:t xml:space="preserve">Dependencies:  </w:t>
      </w:r>
      <w:r>
        <w:t>Map legacy surfaces by identity and provenance before attempting semantic enrichment. Record path, group association, name, description, historical labels, active state, moderator review state, candidate terms, old IDs, and URLs. Resolve local_path -&gt; group_id explicitly.</w:t>
      </w:r>
    </w:p>
    <w:p>
      <w:r>
        <w:rPr>
          <w:b/>
          <w:color w:val="1F4E79"/>
        </w:rPr>
        <w:t xml:space="preserve">Risks:  </w:t>
      </w:r>
      <w:r>
        <w:t>Dependencies</w:t>
      </w:r>
    </w:p>
    <w:p>
      <w:r>
        <w:rPr>
          <w:b/>
          <w:color w:val="1F4E79"/>
        </w:rPr>
        <w:t xml:space="preserve">Success and deferral:  </w:t>
      </w:r>
      <w:r>
        <w:t>Legacy census, path/group invariant, moderation state, membership data, term mapping review.</w:t>
      </w:r>
    </w:p>
    <w:p>
      <w:pPr>
        <w:pStyle w:val="Heading2"/>
      </w:pPr>
      <w:r>
        <w:t>4.5 User Interests, Profiles, and Onboarding</w:t>
      </w:r>
    </w:p>
    <w:p>
      <w:r>
        <w:rPr>
          <w:b/>
          <w:color w:val="1F4E79"/>
        </w:rPr>
        <w:t xml:space="preserve">Purpose:  </w:t>
      </w:r>
      <w:r>
        <w:t>Purpose</w:t>
      </w:r>
    </w:p>
    <w:p>
      <w:r>
        <w:rPr>
          <w:b/>
          <w:color w:val="1F4E79"/>
        </w:rPr>
        <w:t xml:space="preserve">Dependencies:  </w:t>
      </w:r>
      <w:r>
        <w:t>Distinguish explicit interest, inferred interest, behavioral evidence, source, confidence, professional profile, and communication subscription. Onboarding should progressively establish high-value axes such as grade, subject, geography, role, career stage, populations, languages, Special Education, and gifted education.</w:t>
      </w:r>
    </w:p>
    <w:p>
      <w:r>
        <w:rPr>
          <w:b/>
          <w:color w:val="1F4E79"/>
        </w:rPr>
        <w:t xml:space="preserve">Risks:  </w:t>
      </w:r>
      <w:r>
        <w:t>Dependencies</w:t>
      </w:r>
    </w:p>
    <w:p>
      <w:r>
        <w:rPr>
          <w:b/>
          <w:color w:val="1F4E79"/>
        </w:rPr>
        <w:t xml:space="preserve">Success and deferral:  </w:t>
      </w:r>
      <w:r>
        <w:t>Profile authority, Core Terms, privacy/consent policy, subscriber policies, correction and retention rules.</w:t>
      </w:r>
    </w:p>
    <w:p>
      <w:pPr>
        <w:pStyle w:val="Heading2"/>
      </w:pPr>
      <w:r>
        <w:t>4.6 Relationship Governance</w:t>
      </w:r>
    </w:p>
    <w:p>
      <w:r>
        <w:rPr>
          <w:b/>
          <w:color w:val="1F4E79"/>
        </w:rPr>
        <w:t xml:space="preserve">Purpose:  </w:t>
      </w:r>
      <w:r>
        <w:t>Purpose</w:t>
      </w:r>
    </w:p>
    <w:p>
      <w:r>
        <w:rPr>
          <w:b/>
          <w:color w:val="1F4E79"/>
        </w:rPr>
        <w:t xml:space="preserve">Dependencies:  </w:t>
      </w:r>
      <w:r>
        <w:t>Keep hierarchy, approved related concepts, aliases, and behavioral affinities separate. Relationships carry type, direction where relevant, rationale, provenance, confidence, status, approver, and revision history. The first governed model should remain small.</w:t>
      </w:r>
    </w:p>
    <w:p>
      <w:r>
        <w:rPr>
          <w:b/>
          <w:color w:val="1F4E79"/>
        </w:rPr>
        <w:t xml:space="preserve">Risks:  </w:t>
      </w:r>
      <w:r>
        <w:t>Dependencies</w:t>
      </w:r>
    </w:p>
    <w:p>
      <w:r>
        <w:rPr>
          <w:b/>
          <w:color w:val="1F4E79"/>
        </w:rPr>
        <w:t xml:space="preserve">Success and deferral:  </w:t>
      </w:r>
      <w:r>
        <w:t>Core Terms, review roles, proposal evidence, moderation and privacy policy, change history.</w:t>
      </w:r>
    </w:p>
    <w:p>
      <w:pPr>
        <w:pStyle w:val="Heading2"/>
      </w:pPr>
      <w:r>
        <w:t>4.7 Automated Relationship Discovery</w:t>
      </w:r>
    </w:p>
    <w:p>
      <w:r>
        <w:rPr>
          <w:b/>
          <w:color w:val="1F4E79"/>
        </w:rPr>
        <w:t xml:space="preserve">Purpose:  </w:t>
      </w:r>
      <w:r>
        <w:t>Purpose</w:t>
      </w:r>
    </w:p>
    <w:p>
      <w:r>
        <w:rPr>
          <w:b/>
          <w:color w:val="1F4E79"/>
        </w:rPr>
        <w:t xml:space="preserve">Dependencies:  </w:t>
      </w:r>
      <w:r>
        <w:t>Allow analysis processes to examine descriptions, classifications, terms used together, profile co-selection, search and engagement, existing Views, and content overlap to propose candidates. Machines discover, cluster, and score; administrators approve, reject, defer, or change type.</w:t>
      </w:r>
    </w:p>
    <w:p>
      <w:r>
        <w:rPr>
          <w:b/>
          <w:color w:val="1F4E79"/>
        </w:rPr>
        <w:t xml:space="preserve">Risks:  </w:t>
      </w:r>
      <w:r>
        <w:t>Dependencies</w:t>
      </w:r>
    </w:p>
    <w:p>
      <w:r>
        <w:rPr>
          <w:b/>
          <w:color w:val="1F4E79"/>
        </w:rPr>
        <w:t xml:space="preserve">Success and deferral:  </w:t>
      </w:r>
      <w:r>
        <w:t>Evidence inventory, proposal schema, reviewer queue, reproducible analysis process, rejection memory.</w:t>
      </w:r>
    </w:p>
    <w:p>
      <w:pPr>
        <w:pStyle w:val="Heading2"/>
      </w:pPr>
      <w:r>
        <w:t>4.8 Communications Platform</w:t>
      </w:r>
    </w:p>
    <w:p>
      <w:r>
        <w:rPr>
          <w:b/>
          <w:color w:val="1F4E79"/>
        </w:rPr>
        <w:t xml:space="preserve">Purpose:  </w:t>
      </w:r>
      <w:r>
        <w:t>Purpose</w:t>
      </w:r>
    </w:p>
    <w:p>
      <w:r>
        <w:rPr>
          <w:b/>
          <w:color w:val="1F4E79"/>
        </w:rPr>
        <w:t xml:space="preserve">Dependencies:  </w:t>
      </w:r>
      <w:r>
        <w:t>Provide the policy and delivery boundary around events, consent, moderation, transport, limits, deduplication, coalescing, and audit. Product domains remain the authority for event facts and eligibility context. Email is a transport; on-site notifications, feeds, or future push may use the same decisions.</w:t>
      </w:r>
    </w:p>
    <w:p>
      <w:r>
        <w:rPr>
          <w:b/>
          <w:color w:val="1F4E79"/>
        </w:rPr>
        <w:t xml:space="preserve">Risks:  </w:t>
      </w:r>
      <w:r>
        <w:t>Dependencies</w:t>
      </w:r>
    </w:p>
    <w:p>
      <w:r>
        <w:rPr>
          <w:b/>
          <w:color w:val="1F4E79"/>
        </w:rPr>
        <w:t xml:space="preserve">Success and deferral:  </w:t>
      </w:r>
      <w:r>
        <w:t>Subscriber contracts, event vocabulary, moderation state, suppression history, transport adapter, audit and kill switches.</w:t>
      </w:r>
    </w:p>
    <w:p>
      <w:pPr>
        <w:pStyle w:val="Heading2"/>
      </w:pPr>
      <w:r>
        <w:t>4.9 Job Center Integration</w:t>
      </w:r>
    </w:p>
    <w:p>
      <w:r>
        <w:rPr>
          <w:b/>
          <w:color w:val="1F4E79"/>
        </w:rPr>
        <w:t xml:space="preserve">Purpose:  </w:t>
      </w:r>
      <w:r>
        <w:t>Purpose</w:t>
      </w:r>
    </w:p>
    <w:p>
      <w:r>
        <w:rPr>
          <w:b/>
          <w:color w:val="1F4E79"/>
        </w:rPr>
        <w:t xml:space="preserve">Dependencies:  </w:t>
      </w:r>
      <w:r>
        <w:t>Use Core Terms and Portable Views to improve job discovery and configuration while keeping Jobs authority intact. An administrator may select terms from an expandable canonical tree, bulk-import into a View, arrange a local presentation, and preview employer-facing fields.</w:t>
      </w:r>
    </w:p>
    <w:p>
      <w:r>
        <w:rPr>
          <w:b/>
          <w:color w:val="1F4E79"/>
        </w:rPr>
        <w:t xml:space="preserve">Risks:  </w:t>
      </w:r>
      <w:r>
        <w:t>Dependencies</w:t>
      </w:r>
    </w:p>
    <w:p>
      <w:r>
        <w:rPr>
          <w:b/>
          <w:color w:val="1F4E79"/>
        </w:rPr>
        <w:t xml:space="preserve">Success and deferral:  </w:t>
      </w:r>
      <w:r>
        <w:t>Jobs contracts, View lifecycle, employer policy, provenance, location and lifecycle facts.</w:t>
      </w:r>
    </w:p>
    <w:p>
      <w:pPr>
        <w:pStyle w:val="Heading2"/>
      </w:pPr>
      <w:r>
        <w:t>4.10 Recommendations</w:t>
      </w:r>
    </w:p>
    <w:p>
      <w:r>
        <w:rPr>
          <w:b/>
          <w:color w:val="1F4E79"/>
        </w:rPr>
        <w:t xml:space="preserve">Purpose:  </w:t>
      </w:r>
      <w:r>
        <w:t>Purpose</w:t>
      </w:r>
    </w:p>
    <w:p>
      <w:r>
        <w:rPr>
          <w:b/>
          <w:color w:val="1F4E79"/>
        </w:rPr>
        <w:t xml:space="preserve">Dependencies:  </w:t>
      </w:r>
      <w:r>
        <w:t>Use shared terms, approved relationships, Views, subscriber assets, and explicit or inferred interests to support related chatboards, lessons, jobs, newsletters, webinars, feeds, and search. Every result should explain whether the reason was a shared term, approved relationship, selected interest, membership evidence, or recent behavior.</w:t>
      </w:r>
    </w:p>
    <w:p>
      <w:r>
        <w:rPr>
          <w:b/>
          <w:color w:val="1F4E79"/>
        </w:rPr>
        <w:t xml:space="preserve">Risks:  </w:t>
      </w:r>
      <w:r>
        <w:t>Dependencies</w:t>
      </w:r>
    </w:p>
    <w:p>
      <w:r>
        <w:rPr>
          <w:b/>
          <w:color w:val="1F4E79"/>
        </w:rPr>
        <w:t xml:space="preserve">Success and deferral:  </w:t>
      </w:r>
      <w:r>
        <w:t>Interest model, relationship registry, eligibility policy, suppression, evaluation set, correction controls.</w:t>
      </w:r>
    </w:p>
    <w:p>
      <w:pPr>
        <w:pStyle w:val="Heading2"/>
      </w:pPr>
      <w:r>
        <w:t>4.11 Governance and Migration</w:t>
      </w:r>
    </w:p>
    <w:p>
      <w:r>
        <w:rPr>
          <w:b/>
          <w:color w:val="1F4E79"/>
        </w:rPr>
        <w:t xml:space="preserve">Purpose:  </w:t>
      </w:r>
      <w:r>
        <w:t>Purpose</w:t>
      </w:r>
    </w:p>
    <w:p>
      <w:r>
        <w:rPr>
          <w:b/>
          <w:color w:val="1F4E79"/>
        </w:rPr>
        <w:t xml:space="preserve">Dependencies:  </w:t>
      </w:r>
      <w:r>
        <w:t>Make decisions durable through repository docs, Project Cursors, Engineering Handoffs, ADRs, contract versions, approvals, and change control. Migrate in slices only after source facts, rationale, consumers, and rollback are known.</w:t>
      </w:r>
    </w:p>
    <w:p>
      <w:r>
        <w:rPr>
          <w:b/>
          <w:color w:val="1F4E79"/>
        </w:rPr>
        <w:t xml:space="preserve">Risks:  </w:t>
      </w:r>
      <w:r>
        <w:t>Dependencies</w:t>
      </w:r>
    </w:p>
    <w:p>
      <w:r>
        <w:rPr>
          <w:b/>
          <w:color w:val="1F4E79"/>
        </w:rPr>
        <w:t xml:space="preserve">Success and deferral:  </w:t>
      </w:r>
      <w:r>
        <w:t>Documentation governance, authority matrix, inventory, backups, checksums, reconciliation, operational support.</w:t>
      </w:r>
    </w:p>
    <w:p>
      <w:pPr>
        <w:pStyle w:val="Heading2"/>
      </w:pPr>
      <w:r>
        <w:t>4.12 Communications Platform Lifecycle</w:t>
      </w:r>
    </w:p>
    <w:p>
      <w:r>
        <w:t>The Communications Platform deserves its own lifecycle because it sits at the intersection of content, consent, moderation, abuse prevention, and transport. It should not be designed as a set of templates that happen to send mail. A candidate event is a durable policy input with a source, not an instruction to deliver.</w:t>
      </w:r>
    </w:p>
    <w:p>
      <w:pPr>
        <w:pStyle w:val="Heading3"/>
      </w:pPr>
      <w:r>
        <w:t>Event and delivery sequence</w:t>
      </w:r>
    </w:p>
    <w:p>
      <w:pPr>
        <w:pStyle w:val="ListNumber"/>
      </w:pPr>
      <w:r>
        <w:t>Candidate event is created with immutable ID, source post or reply, group, author, event type, moderation state, and eligibility context.</w:t>
      </w:r>
    </w:p>
    <w:p>
      <w:pPr>
        <w:pStyle w:val="ListNumber"/>
      </w:pPr>
      <w:r>
        <w:t>Event enters a hold or quarantine period appropriate to its scope. A direct reply to a user’s own topic may be a narrower pilot candidate; broad group or digest candidates require more time.</w:t>
      </w:r>
    </w:p>
    <w:p>
      <w:pPr>
        <w:pStyle w:val="ListNumber"/>
      </w:pPr>
      <w:r>
        <w:t>Moderation is rechecked before consent and suppression resolution. Pending, hidden, deleted, spam, blocked, or unknown content fails closed.</w:t>
      </w:r>
    </w:p>
    <w:p>
      <w:pPr>
        <w:pStyle w:val="ListNumber"/>
      </w:pPr>
      <w:r>
        <w:t>The resolver evaluates permanent suppression, complaint/bounce suppression, global pause, explicit global opt-out, category preference, group override, event type, recipient eligibility, moderation state, and current limits. It records which rule won and when.</w:t>
      </w:r>
    </w:p>
    <w:p>
      <w:pPr>
        <w:pStyle w:val="ListNumber"/>
      </w:pPr>
      <w:r>
        <w:t>Deduplication, coalescing, and rate limits decide whether the event queues, merges into a digest, defers, or cancels.</w:t>
      </w:r>
    </w:p>
    <w:p>
      <w:pPr>
        <w:pStyle w:val="ListNumber"/>
      </w:pPr>
      <w:r>
        <w:t>A final moderation recheck occurs immediately before transport. Delivery, bounce, complaint, provider message ID, and suppression outcomes are audited.</w:t>
      </w:r>
    </w:p>
    <w:p>
      <w:pPr>
        <w:pStyle w:val="ListNumber"/>
      </w:pPr>
      <w:r>
        <w:t>The event can be replayed only under controlled policy; cancellation and kill-switch actions remain visible.</w:t>
      </w:r>
    </w:p>
    <w:p>
      <w:pPr>
        <w:pStyle w:val="Heading3"/>
      </w:pPr>
      <w:r>
        <w:t>Policy resolution</w:t>
      </w:r>
    </w:p>
    <w:p>
      <w:r>
        <w:t>An effective preference is a decision, not a copied field. Legacy `email_posts` values of 0–3 are migration evidence: preserve their original value and source, but require explicit re-consent for any pilot. Group membership can be evidence for relevance, but it is not automatically a communication subscription. A user can read a topic repeatedly and still decline email; a user can join a group for one project and not want a newsletter.</w:t>
      </w:r>
    </w:p>
    <w:p>
      <w:pPr>
        <w:pStyle w:val="Heading3"/>
      </w:pPr>
      <w:r>
        <w:t>Safety and transport</w:t>
      </w:r>
    </w:p>
    <w:p>
      <w:r>
        <w:t>Initial controls should include per-recipient, per-group, per-thread, per-author, and sitewide ceilings; deterministic deduplication; digest thresholds and maximum counts; safe excerpts; no empty sends; and a global, group, recipient, and transport kill switch. Deliverability requires sender identity, SPF/DKIM/DMARC alignment, invalid-address handling, bounce and complaint suppression, provider IDs, metrics, rate ramp, and transport rollback. Mailpit is the first local verification transport. The provider is replaceable infrastructure, never the authority for consent or event eligibility.</w:t>
      </w:r>
    </w:p>
    <w:p>
      <w:pPr>
        <w:pStyle w:val="Heading1"/>
      </w:pPr>
      <w:r>
        <w:t>5. Recommended Project Sequence</w:t>
      </w:r>
    </w:p>
    <w:p>
      <w:r>
        <w:t>The sequence is designed to produce evidence in increasing order of risk. Each phase has an explicit exclusion so a successful pilot cannot silently expand its authority.</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2340"/>
            <w:shd w:fill="EAF1F8"/>
            <w:vAlign w:val="center"/>
          </w:tcPr>
          <w:p>
            <w:r>
              <w:rPr>
                <w:b/>
              </w:rPr>
              <w:t>Phase</w:t>
            </w:r>
          </w:p>
        </w:tc>
        <w:tc>
          <w:tcPr>
            <w:tcW w:type="dxa" w:w="2340"/>
            <w:shd w:fill="EAF1F8"/>
            <w:vAlign w:val="center"/>
          </w:tcPr>
          <w:p>
            <w:r>
              <w:rPr>
                <w:b/>
              </w:rPr>
              <w:t>Objectives and deliverables</w:t>
            </w:r>
          </w:p>
        </w:tc>
        <w:tc>
          <w:tcPr>
            <w:tcW w:type="dxa" w:w="2340"/>
            <w:shd w:fill="EAF1F8"/>
            <w:vAlign w:val="center"/>
          </w:tcPr>
          <w:p>
            <w:r>
              <w:rPr>
                <w:b/>
              </w:rPr>
              <w:t>Validation / exit</w:t>
            </w:r>
          </w:p>
        </w:tc>
        <w:tc>
          <w:tcPr>
            <w:tcW w:type="dxa" w:w="2340"/>
            <w:shd w:fill="EAF1F8"/>
            <w:vAlign w:val="center"/>
          </w:tcPr>
          <w:p>
            <w:r>
              <w:rPr>
                <w:b/>
              </w:rPr>
              <w:t>Explicit exclusions</w:t>
            </w:r>
          </w:p>
        </w:tc>
      </w:tr>
      <w:tr>
        <w:tc>
          <w:tcPr>
            <w:tcW w:type="dxa" w:w="2340"/>
            <w:vAlign w:val="center"/>
          </w:tcPr>
          <w:p>
            <w:r>
              <w:t>0 — Authority</w:t>
            </w:r>
          </w:p>
        </w:tc>
        <w:tc>
          <w:tcPr>
            <w:tcW w:type="dxa" w:w="2340"/>
            <w:vAlign w:val="center"/>
          </w:tcPr>
          <w:p>
            <w:r>
              <w:t>Confirm ownership, invariants, glossary, status, open decisions, and ADR register.</w:t>
            </w:r>
          </w:p>
        </w:tc>
        <w:tc>
          <w:tcPr>
            <w:tcW w:type="dxa" w:w="2340"/>
            <w:vAlign w:val="center"/>
          </w:tcPr>
          <w:p>
            <w:r>
              <w:t>Contradiction scan; director accepts authority and stop conditions.</w:t>
            </w:r>
          </w:p>
        </w:tc>
        <w:tc>
          <w:tcPr>
            <w:tcW w:type="dxa" w:w="2340"/>
            <w:vAlign w:val="center"/>
          </w:tcPr>
          <w:p>
            <w:r>
              <w:t>No code, schema, production edit, or redesign.</w:t>
            </w:r>
          </w:p>
        </w:tc>
      </w:tr>
      <w:tr>
        <w:tc>
          <w:tcPr>
            <w:tcW w:type="dxa" w:w="2340"/>
            <w:vAlign w:val="center"/>
          </w:tcPr>
          <w:p>
            <w:r>
              <w:t>1 — Contracts</w:t>
            </w:r>
          </w:p>
        </w:tc>
        <w:tc>
          <w:tcPr>
            <w:tcW w:type="dxa" w:w="2340"/>
            <w:vAlign w:val="center"/>
          </w:tcPr>
          <w:p>
            <w:r>
              <w:t>Define one View, subscriber policy, relationship type, interest signal, and event contract.</w:t>
            </w:r>
          </w:p>
        </w:tc>
        <w:tc>
          <w:tcPr>
            <w:tcW w:type="dxa" w:w="2340"/>
            <w:vAlign w:val="center"/>
          </w:tcPr>
          <w:p>
            <w:r>
              <w:t>Every field has owner, provenance, lifecycle, consumer, and failure behavior.</w:t>
            </w:r>
          </w:p>
        </w:tc>
        <w:tc>
          <w:tcPr>
            <w:tcW w:type="dxa" w:w="2340"/>
            <w:vAlign w:val="center"/>
          </w:tcPr>
          <w:p>
            <w:r>
              <w:t>No generalized service or migration.</w:t>
            </w:r>
          </w:p>
        </w:tc>
      </w:tr>
      <w:tr>
        <w:tc>
          <w:tcPr>
            <w:tcW w:type="dxa" w:w="2340"/>
            <w:vAlign w:val="center"/>
          </w:tcPr>
          <w:p>
            <w:r>
              <w:t>2 — Job Center proof</w:t>
            </w:r>
          </w:p>
        </w:tc>
        <w:tc>
          <w:tcPr>
            <w:tcW w:type="dxa" w:w="2340"/>
            <w:vAlign w:val="center"/>
          </w:tcPr>
          <w:p>
            <w:r>
              <w:t>Use one bounded read-only View for relevant discovery or configuration.</w:t>
            </w:r>
          </w:p>
        </w:tc>
        <w:tc>
          <w:tcPr>
            <w:tcW w:type="dxa" w:w="2340"/>
            <w:vAlign w:val="center"/>
          </w:tcPr>
          <w:p>
            <w:r>
              <w:t>Reconcile sample records; show classification never grants authorization.</w:t>
            </w:r>
          </w:p>
        </w:tc>
        <w:tc>
          <w:tcPr>
            <w:tcW w:type="dxa" w:w="2340"/>
            <w:vAlign w:val="center"/>
          </w:tcPr>
          <w:p>
            <w:r>
              <w:t>No employer workflow or write-back.</w:t>
            </w:r>
          </w:p>
        </w:tc>
      </w:tr>
      <w:tr>
        <w:tc>
          <w:tcPr>
            <w:tcW w:type="dxa" w:w="2340"/>
            <w:vAlign w:val="center"/>
          </w:tcPr>
          <w:p>
            <w:r>
              <w:t>3 — Community proof</w:t>
            </w:r>
          </w:p>
        </w:tc>
        <w:tc>
          <w:tcPr>
            <w:tcW w:type="dxa" w:w="2340"/>
            <w:vAlign w:val="center"/>
          </w:tcPr>
          <w:p>
            <w:r>
              <w:t>Map one chatboard cohort; propose typed relationships; review ambiguity.</w:t>
            </w:r>
          </w:p>
        </w:tc>
        <w:tc>
          <w:tcPr>
            <w:tcW w:type="dxa" w:w="2340"/>
            <w:vAlign w:val="center"/>
          </w:tcPr>
          <w:p>
            <w:r>
              <w:t>Path/group identities reconcile; every edge has evidence and disposition.</w:t>
            </w:r>
          </w:p>
        </w:tc>
        <w:tc>
          <w:tcPr>
            <w:tcW w:type="dxa" w:w="2340"/>
            <w:vAlign w:val="center"/>
          </w:tcPr>
          <w:p>
            <w:r>
              <w:t>No global remap, auto-membership, or auto-subscription.</w:t>
            </w:r>
          </w:p>
        </w:tc>
      </w:tr>
      <w:tr>
        <w:tc>
          <w:tcPr>
            <w:tcW w:type="dxa" w:w="2340"/>
            <w:vAlign w:val="center"/>
          </w:tcPr>
          <w:p>
            <w:r>
              <w:t>4 — Communications proof</w:t>
            </w:r>
          </w:p>
        </w:tc>
        <w:tc>
          <w:tcPr>
            <w:tcW w:type="dxa" w:w="2340"/>
            <w:vAlign w:val="center"/>
          </w:tcPr>
          <w:p>
            <w:r>
              <w:t>Test one purpose and channel with suppression, moderation, dedupe, and audit.</w:t>
            </w:r>
          </w:p>
        </w:tc>
        <w:tc>
          <w:tcPr>
            <w:tcW w:type="dxa" w:w="2340"/>
            <w:vAlign w:val="center"/>
          </w:tcPr>
          <w:p>
            <w:r>
              <w:t>Safe local transport; opt-out, kill switch, and duplicate checks pass.</w:t>
            </w:r>
          </w:p>
        </w:tc>
        <w:tc>
          <w:tcPr>
            <w:tcW w:type="dxa" w:w="2340"/>
            <w:vAlign w:val="center"/>
          </w:tcPr>
          <w:p>
            <w:r>
              <w:t>No autonomous campaigns.</w:t>
            </w:r>
          </w:p>
        </w:tc>
      </w:tr>
      <w:tr>
        <w:tc>
          <w:tcPr>
            <w:tcW w:type="dxa" w:w="2340"/>
            <w:vAlign w:val="center"/>
          </w:tcPr>
          <w:p>
            <w:r>
              <w:t>5 — Adoption</w:t>
            </w:r>
          </w:p>
        </w:tc>
        <w:tc>
          <w:tcPr>
            <w:tcW w:type="dxa" w:w="2340"/>
            <w:vAlign w:val="center"/>
          </w:tcPr>
          <w:p>
            <w:r>
              <w:t>Adopt proven contracts product by product with canary and rollback.</w:t>
            </w:r>
          </w:p>
        </w:tc>
        <w:tc>
          <w:tcPr>
            <w:tcW w:type="dxa" w:w="2340"/>
            <w:vAlign w:val="center"/>
          </w:tcPr>
          <w:p>
            <w:r>
              <w:t>Each product remains authoritative and can retire the integration.</w:t>
            </w:r>
          </w:p>
        </w:tc>
        <w:tc>
          <w:tcPr>
            <w:tcW w:type="dxa" w:w="2340"/>
            <w:vAlign w:val="center"/>
          </w:tcPr>
          <w:p>
            <w:r>
              <w:t>No platform-wide coupling mandate.</w:t>
            </w:r>
          </w:p>
        </w:tc>
      </w:tr>
    </w:tbl>
    <w:p>
      <w:pPr>
        <w:spacing w:after="20"/>
      </w:pPr>
    </w:p>
    <w:p>
      <w:r>
        <w:t>The rationale is cumulative. Authority prevents vocabulary drift. Contracts prevent shared-table coupling. The Job Center pilot demonstrates value while preserving an existing product boundary. Chatboard mapping then exercises identity and review complexity. Communications and recommendations inherit explicit controls instead of inventing them under deadline pressure.</w:t>
      </w:r>
    </w:p>
    <w:p>
      <w:pPr>
        <w:pStyle w:val="Heading1"/>
      </w:pPr>
      <w:r>
        <w:t>6. Pilot Recommendations</w:t>
      </w:r>
    </w:p>
    <w:p>
      <w:pPr>
        <w:pStyle w:val="Heading2"/>
      </w:pPr>
      <w:r>
        <w:t>Job Center View pilot</w:t>
      </w:r>
    </w:p>
    <w:p>
      <w:r>
        <w:t>Select one narrow discovery or configuration use case. Use an expandable canonical tree, import selected terms into a View, arrange display order and local groups, and preview the employer-facing result. Record which parts are canonical and which are presentation. Verify that the View supplies classification only; Jobs still owns facts, provenance, employer authority, lifecycle, locations, and applications.</w:t>
      </w:r>
    </w:p>
    <w:p>
      <w:pPr>
        <w:pStyle w:val="Heading2"/>
      </w:pPr>
      <w:r>
        <w:t>Chatboard mapping pilot</w:t>
      </w:r>
    </w:p>
    <w:p>
      <w:r>
        <w:t>Choose one bounded set of boards and years. Reconcile path, group, membership, active state, moderator state, and historical labels. For the AI in Education example, candidate terms might include Artificial Intelligence as primary subject, with Technology, Academic Integrity, Assessment, and Professional Development as supporting or contextual terms. “Detecting AI Cheating” may be a more specific surface, but it must not automatically become a child of Artificial Intelligence if the governed model treats detection, integrity, and assessment as cross-cutting concepts. Record human rationale for many-to-many mappings.</w:t>
      </w:r>
    </w:p>
    <w:p>
      <w:pPr>
        <w:pStyle w:val="Heading2"/>
      </w:pPr>
      <w:r>
        <w:t>Relationship discovery pilot</w:t>
      </w:r>
    </w:p>
    <w:p>
      <w:r>
        <w:t>Run a targeted proposal process over one term or one cohort. Preserve evidence, source, confidence, process/model, candidate type, and reviewer disposition. A rejected candidate should not reappear without new evidence. Use scheduled or meaningful-change sweeps for broad analysis; reserve immediate integrity checks for local consequences of an administrator edit.</w:t>
      </w:r>
    </w:p>
    <w:p>
      <w:pPr>
        <w:pStyle w:val="Heading2"/>
      </w:pPr>
      <w:r>
        <w:t>Communications preference pilot</w:t>
      </w:r>
    </w:p>
    <w:p>
      <w:r>
        <w:t>Test one narrow purpose, preferably a direct reply notice or an explicitly selected category, with local Mailpit transport. Require explicit consent, suppression, delay, moderation checks, caps, deduplication, unsubscribe, audit, and a kill switch. Measure unwanted and duplicate delivery as first-class failures, not merely delivery success.</w:t>
      </w:r>
    </w:p>
    <w:p>
      <w:pPr>
        <w:pStyle w:val="Heading2"/>
      </w:pPr>
      <w:r>
        <w:t>Recommendation proof</w:t>
      </w:r>
    </w:p>
    <w:p>
      <w:r>
        <w:t>Return a small set of related resources with reason codes and a correction path. Compare shared-term, approved-relationship, explicit-interest, membership-evidence, and recent-behavior reasons without hiding them in a score. The pilot proves explainability and policy control, not a final ranking algorithm.</w:t>
      </w:r>
    </w:p>
    <w:p>
      <w:pPr>
        <w:pStyle w:val="Heading1"/>
      </w:pPr>
      <w:r>
        <w:t>7. Governance Strategy</w:t>
      </w:r>
    </w:p>
    <w:p>
      <w:pPr>
        <w:pStyle w:val="Heading2"/>
      </w:pPr>
      <w:r>
        <w:t>Documentation and decision authority</w:t>
      </w:r>
    </w:p>
    <w:p>
      <w:r>
        <w:t>Keep architecture, decisions, roadmaps, and implementation details in the repository. Use the Project Cursor and Engineering Handoff for durable continuity state. ADRs should state the authority, alternatives, consequences, reversibility, non-goals, and approval. A future ticket should identify the contract or ADR it advances and the exact boundary it must not cross.</w:t>
      </w:r>
    </w:p>
    <w:p>
      <w:pPr>
        <w:pStyle w:val="Heading2"/>
      </w:pPr>
      <w:r>
        <w:t>Versioning and change control</w:t>
      </w:r>
    </w:p>
    <w:p>
      <w:r>
        <w:t>Version semantic meaning, Portable Views, subscriber policies, and event contracts independently from application releases. A published View must expose its subscribers, affected fields, selection policies, and rollback version. A new consumer must name source of truth, allowed fields, freshness, failure behavior, correction path, and retirement plan. A migration must preserve source facts and historical rationale before normalization.</w:t>
      </w:r>
    </w:p>
    <w:p>
      <w:pPr>
        <w:pStyle w:val="Heading2"/>
      </w:pPr>
      <w:r>
        <w:t>Relationship and View lifecycle</w:t>
      </w:r>
    </w:p>
    <w:p>
      <w:r>
        <w:t>Relationships move through proposed, reviewed, approved, rejected, expired, and superseded states. Behavioral affinities require time windows and decay or expiry. Views move through draft, preview, published, rolled back, deprecated, and retired. Neither lifecycle may be bypassed by a product-specific admin screen. Approval is especially important when an inference could affect access, public labeling, recommendation eligibility, or notification.</w:t>
      </w:r>
    </w:p>
    <w:p>
      <w:pPr>
        <w:pStyle w:val="Heading2"/>
      </w:pPr>
      <w:r>
        <w:t>Governance principles</w:t>
      </w:r>
    </w:p>
    <w:p>
      <w:pPr>
        <w:pStyle w:val="ListNumber"/>
      </w:pPr>
      <w:r>
        <w:t>Hierarchy defines what a concept is.</w:t>
      </w:r>
    </w:p>
    <w:p>
      <w:pPr>
        <w:pStyle w:val="ListNumber"/>
      </w:pPr>
      <w:r>
        <w:t>Relationships define what a concept connects to.</w:t>
      </w:r>
    </w:p>
    <w:p>
      <w:pPr>
        <w:pStyle w:val="ListNumber"/>
      </w:pPr>
      <w:r>
        <w:t>Views define how a subscriber presents a governed set.</w:t>
      </w:r>
    </w:p>
    <w:p>
      <w:pPr>
        <w:pStyle w:val="ListNumber"/>
      </w:pPr>
      <w:r>
        <w:t>Policies define how users may select it.</w:t>
      </w:r>
    </w:p>
    <w:p>
      <w:pPr>
        <w:pStyle w:val="ListNumber"/>
      </w:pPr>
      <w:r>
        <w:t>Products remain independent while sharing semantic meaning.</w:t>
      </w:r>
    </w:p>
    <w:p>
      <w:pPr>
        <w:pStyle w:val="ListNumber"/>
      </w:pPr>
      <w:r>
        <w:t>Membership, interest, behavior, consent, and publication remain distinct.</w:t>
      </w:r>
    </w:p>
    <w:p>
      <w:pPr>
        <w:pStyle w:val="ListNumber"/>
      </w:pPr>
      <w:r>
        <w:t>Machines propose; humans govern canonical relationships.</w:t>
      </w:r>
    </w:p>
    <w:p>
      <w:pPr>
        <w:pStyle w:val="ListNumber"/>
      </w:pPr>
      <w:r>
        <w:t>Communications decisions are auditable and fail closed on uncertainty.</w:t>
      </w:r>
    </w:p>
    <w:p>
      <w:pPr>
        <w:pStyle w:val="ListNumber"/>
      </w:pPr>
      <w:r>
        <w:t>Email is a transport, not the Communications Platform.</w:t>
      </w:r>
    </w:p>
    <w:p>
      <w:pPr>
        <w:pStyle w:val="ListNumber"/>
      </w:pPr>
      <w:r>
        <w:t>Verified history, architectural intent, and future proposals remain explicitly separated.</w:t>
      </w:r>
    </w:p>
    <w:p>
      <w:pPr>
        <w:pStyle w:val="Heading1"/>
      </w:pPr>
      <w:r>
        <w:t>8. Risk Analysis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fill="EAF1F8"/>
            <w:vAlign w:val="center"/>
          </w:tcPr>
          <w:p>
            <w:r>
              <w:rPr>
                <w:b/>
              </w:rPr>
              <w:t>Risk</w:t>
            </w:r>
          </w:p>
        </w:tc>
        <w:tc>
          <w:tcPr>
            <w:tcW w:type="dxa" w:w="3120"/>
            <w:shd w:fill="EAF1F8"/>
            <w:vAlign w:val="center"/>
          </w:tcPr>
          <w:p>
            <w:r>
              <w:rPr>
                <w:b/>
              </w:rPr>
              <w:t>Failure mode</w:t>
            </w:r>
          </w:p>
        </w:tc>
        <w:tc>
          <w:tcPr>
            <w:tcW w:type="dxa" w:w="3120"/>
            <w:shd w:fill="EAF1F8"/>
            <w:vAlign w:val="center"/>
          </w:tcPr>
          <w:p>
            <w:r>
              <w:rPr>
                <w:b/>
              </w:rPr>
              <w:t>Mitigation and evidence</w:t>
            </w:r>
          </w:p>
        </w:tc>
      </w:tr>
      <w:tr>
        <w:tc>
          <w:tcPr>
            <w:tcW w:type="dxa" w:w="3120"/>
            <w:vAlign w:val="center"/>
          </w:tcPr>
          <w:p>
            <w:r>
              <w:t>Taxonomy drift</w:t>
            </w:r>
          </w:p>
        </w:tc>
        <w:tc>
          <w:tcPr>
            <w:tcW w:type="dxa" w:w="3120"/>
            <w:vAlign w:val="center"/>
          </w:tcPr>
          <w:p>
            <w:r>
              <w:t>Consumers silently assume old meaning.</w:t>
            </w:r>
          </w:p>
        </w:tc>
        <w:tc>
          <w:tcPr>
            <w:tcW w:type="dxa" w:w="3120"/>
            <w:vAlign w:val="center"/>
          </w:tcPr>
          <w:p>
            <w:r>
              <w:t>Version semantics; owner review; mapping history; contract fixtures.</w:t>
            </w:r>
          </w:p>
        </w:tc>
      </w:tr>
      <w:tr>
        <w:tc>
          <w:tcPr>
            <w:tcW w:type="dxa" w:w="3120"/>
            <w:vAlign w:val="center"/>
          </w:tcPr>
          <w:p>
            <w:r>
              <w:t>Subscriber divergence</w:t>
            </w:r>
          </w:p>
        </w:tc>
        <w:tc>
          <w:tcPr>
            <w:tcW w:type="dxa" w:w="3120"/>
            <w:vAlign w:val="center"/>
          </w:tcPr>
          <w:p>
            <w:r>
              <w:t>Products build conflicting audiences and suppression.</w:t>
            </w:r>
          </w:p>
        </w:tc>
        <w:tc>
          <w:tcPr>
            <w:tcW w:type="dxa" w:w="3120"/>
            <w:vAlign w:val="center"/>
          </w:tcPr>
          <w:p>
            <w:r>
              <w:t>Shared subscriber vocabulary; purpose/channel/suppression audit.</w:t>
            </w:r>
          </w:p>
        </w:tc>
      </w:tr>
      <w:tr>
        <w:tc>
          <w:tcPr>
            <w:tcW w:type="dxa" w:w="3120"/>
            <w:vAlign w:val="center"/>
          </w:tcPr>
          <w:p>
            <w:r>
              <w:t>Relationship explosion</w:t>
            </w:r>
          </w:p>
        </w:tc>
        <w:tc>
          <w:tcPr>
            <w:tcW w:type="dxa" w:w="3120"/>
            <w:vAlign w:val="center"/>
          </w:tcPr>
          <w:p>
            <w:r>
              <w:t>Weak signals create noisy graph and recommendations.</w:t>
            </w:r>
          </w:p>
        </w:tc>
        <w:tc>
          <w:tcPr>
            <w:tcW w:type="dxa" w:w="3120"/>
            <w:vAlign w:val="center"/>
          </w:tcPr>
          <w:p>
            <w:r>
              <w:t>Small typed model; confidence; expiry; review thresholds.</w:t>
            </w:r>
          </w:p>
        </w:tc>
      </w:tr>
      <w:tr>
        <w:tc>
          <w:tcPr>
            <w:tcW w:type="dxa" w:w="3120"/>
            <w:vAlign w:val="center"/>
          </w:tcPr>
          <w:p>
            <w:r>
              <w:t>Premature automation</w:t>
            </w:r>
          </w:p>
        </w:tc>
        <w:tc>
          <w:tcPr>
            <w:tcW w:type="dxa" w:w="3120"/>
            <w:vAlign w:val="center"/>
          </w:tcPr>
          <w:p>
            <w:r>
              <w:t>Inference sends, labels, or changes access.</w:t>
            </w:r>
          </w:p>
        </w:tc>
        <w:tc>
          <w:tcPr>
            <w:tcW w:type="dxa" w:w="3120"/>
            <w:vAlign w:val="center"/>
          </w:tcPr>
          <w:p>
            <w:r>
              <w:t>Human review; dry runs; kill switches; activation gates.</w:t>
            </w:r>
          </w:p>
        </w:tc>
      </w:tr>
      <w:tr>
        <w:tc>
          <w:tcPr>
            <w:tcW w:type="dxa" w:w="3120"/>
            <w:vAlign w:val="center"/>
          </w:tcPr>
          <w:p>
            <w:r>
              <w:t>Over-personalization</w:t>
            </w:r>
          </w:p>
        </w:tc>
        <w:tc>
          <w:tcPr>
            <w:tcW w:type="dxa" w:w="3120"/>
            <w:vAlign w:val="center"/>
          </w:tcPr>
          <w:p>
            <w:r>
              <w:t>Users cannot understand or correct results.</w:t>
            </w:r>
          </w:p>
        </w:tc>
        <w:tc>
          <w:tcPr>
            <w:tcW w:type="dxa" w:w="3120"/>
            <w:vAlign w:val="center"/>
          </w:tcPr>
          <w:p>
            <w:r>
              <w:t>Reason codes; stated-interest priority; correction and opt-out.</w:t>
            </w:r>
          </w:p>
        </w:tc>
      </w:tr>
      <w:tr>
        <w:tc>
          <w:tcPr>
            <w:tcW w:type="dxa" w:w="3120"/>
            <w:vAlign w:val="center"/>
          </w:tcPr>
          <w:p>
            <w:r>
              <w:t>Migration complexity</w:t>
            </w:r>
          </w:p>
        </w:tc>
        <w:tc>
          <w:tcPr>
            <w:tcW w:type="dxa" w:w="3120"/>
            <w:vAlign w:val="center"/>
          </w:tcPr>
          <w:p>
            <w:r>
              <w:t>Legacy side effects remain hidden.</w:t>
            </w:r>
          </w:p>
        </w:tc>
        <w:tc>
          <w:tcPr>
            <w:tcW w:type="dxa" w:w="3120"/>
            <w:vAlign w:val="center"/>
          </w:tcPr>
          <w:p>
            <w:r>
              <w:t>Inventory; checksums; canary; reconciliation; rollback.</w:t>
            </w:r>
          </w:p>
        </w:tc>
      </w:tr>
      <w:tr>
        <w:tc>
          <w:tcPr>
            <w:tcW w:type="dxa" w:w="3120"/>
            <w:vAlign w:val="center"/>
          </w:tcPr>
          <w:p>
            <w:r>
              <w:t>Legacy compatibility</w:t>
            </w:r>
          </w:p>
        </w:tc>
        <w:tc>
          <w:tcPr>
            <w:tcW w:type="dxa" w:w="3120"/>
            <w:vAlign w:val="center"/>
          </w:tcPr>
          <w:p>
            <w:r>
              <w:t>Adapter becomes permanent architecture.</w:t>
            </w:r>
          </w:p>
        </w:tc>
        <w:tc>
          <w:tcPr>
            <w:tcW w:type="dxa" w:w="3120"/>
            <w:vAlign w:val="center"/>
          </w:tcPr>
          <w:p>
            <w:r>
              <w:t>Bounded contract; sunset criteria; no new dependency without review.</w:t>
            </w:r>
          </w:p>
        </w:tc>
      </w:tr>
      <w:tr>
        <w:tc>
          <w:tcPr>
            <w:tcW w:type="dxa" w:w="3120"/>
            <w:vAlign w:val="center"/>
          </w:tcPr>
          <w:p>
            <w:r>
              <w:t>Scope creep</w:t>
            </w:r>
          </w:p>
        </w:tc>
        <w:tc>
          <w:tcPr>
            <w:tcW w:type="dxa" w:w="3120"/>
            <w:vAlign w:val="center"/>
          </w:tcPr>
          <w:p>
            <w:r>
              <w:t>Every product concern is pulled into platform.</w:t>
            </w:r>
          </w:p>
        </w:tc>
        <w:tc>
          <w:tcPr>
            <w:tcW w:type="dxa" w:w="3120"/>
            <w:vAlign w:val="center"/>
          </w:tcPr>
          <w:p>
            <w:r>
              <w:t>Authority matrix; phase gates; exclusions; ADR.</w:t>
            </w:r>
          </w:p>
        </w:tc>
      </w:tr>
      <w:tr>
        <w:tc>
          <w:tcPr>
            <w:tcW w:type="dxa" w:w="3120"/>
            <w:vAlign w:val="center"/>
          </w:tcPr>
          <w:p>
            <w:r>
              <w:t>AI labor waste</w:t>
            </w:r>
          </w:p>
        </w:tc>
        <w:tc>
          <w:tcPr>
            <w:tcW w:type="dxa" w:w="3120"/>
            <w:vAlign w:val="center"/>
          </w:tcPr>
          <w:p>
            <w:r>
              <w:t>Sessions rediscover state or implement without authority.</w:t>
            </w:r>
          </w:p>
        </w:tc>
        <w:tc>
          <w:tcPr>
            <w:tcW w:type="dxa" w:w="3120"/>
            <w:vAlign w:val="center"/>
          </w:tcPr>
          <w:p>
            <w:r>
              <w:t>Cursor; handoff; context bootstrap; ticket discipline.</w:t>
            </w:r>
          </w:p>
        </w:tc>
      </w:tr>
    </w:tbl>
    <w:p>
      <w:pPr>
        <w:spacing w:after="20"/>
      </w:pPr>
    </w:p>
    <w:p>
      <w:pPr>
        <w:pStyle w:val="Heading1"/>
      </w:pPr>
      <w:r>
        <w:t>9. Long-Term Vision</w:t>
      </w:r>
    </w:p>
    <w:p>
      <w:r>
        <w:t>Jobs can use Core Terms for classification while retaining job and employer authority. Lesson Bank can publish lesson and subject Views. Community can publish reviewed chatboard, group, membership, and relationship signals. Communications can select eligible subscribers without owning job, lesson, or community facts. Marketplace and Professional Development can contribute bounded content and eligibility contracts. Search and recommendations can consume approved Views and reason-coded interests.</w:t>
      </w:r>
    </w:p>
    <w:p>
      <w:r>
        <w:t>The vision is intentionally decoupled. Applications are not modules inside one giant product, and the semantic layer is not a universal write authority. Future products such as mentoring, events, resource exchange, professional portfolios, webinars, or new community surfaces must state what they own, what they publish, what they consume, how users correct it, and how they leave the integration.</w:t>
      </w:r>
    </w:p>
    <w:p>
      <w:pPr>
        <w:pStyle w:val="Heading1"/>
      </w:pPr>
      <w:r>
        <w:t>10. Suggested Immediate Next Actions</w:t>
      </w:r>
    </w:p>
    <w:p>
      <w:pPr>
        <w:pStyle w:val="ListNumber"/>
      </w:pPr>
      <w:r>
        <w:t>Approve this approach as the planning companion to the canonical Community 3.0 working draft, or record requested revisions as an ADR.</w:t>
      </w:r>
    </w:p>
    <w:p>
      <w:pPr>
        <w:pStyle w:val="ListNumber"/>
      </w:pPr>
      <w:r>
        <w:t>Create the authority matrix and glossary for Core Terms, Jobs, Community, Communications, identity, and preference data.</w:t>
      </w:r>
    </w:p>
    <w:p>
      <w:pPr>
        <w:pStyle w:val="ListNumber"/>
      </w:pPr>
      <w:r>
        <w:t>Write contract cards for one Portable View, one subscriber purpose, one relationship type, one stated-interest signal, and one candidate communication event.</w:t>
      </w:r>
    </w:p>
    <w:p>
      <w:pPr>
        <w:pStyle w:val="ListNumber"/>
      </w:pPr>
      <w:r>
        <w:t>Define the Job Center cohort, evidence set, reviewers, and exit criteria without implementing it.</w:t>
      </w:r>
    </w:p>
    <w:p>
      <w:pPr>
        <w:pStyle w:val="ListNumber"/>
      </w:pPr>
      <w:r>
        <w:t>Define the chatboard census and reconciliation questions while preserving path_id/group_id separation.</w:t>
      </w:r>
    </w:p>
    <w:p>
      <w:pPr>
        <w:pStyle w:val="ListNumber"/>
      </w:pPr>
      <w:r>
        <w:t>Document suppression, unsubscribe, quiet-period, audit, and safe re-engagement requirements before delivery work.</w:t>
      </w:r>
    </w:p>
    <w:p>
      <w:pPr>
        <w:pStyle w:val="ListNumber"/>
      </w:pPr>
      <w:r>
        <w:t>Record open decisions for inferred-interest consent, relationship activation, freshness, retention, correction, product opt-out, and View retirement.</w:t>
      </w:r>
    </w:p>
    <w:p>
      <w:pPr>
        <w:pStyle w:val="ListNumber"/>
      </w:pPr>
      <w:r>
        <w:t>Do not code, migrate, redesign production UI, or alter production data until authority documents and pilot contracts are reviewed and approved.</w:t>
      </w:r>
    </w:p>
    <w:p>
      <w:pPr>
        <w:pStyle w:val="Heading1"/>
      </w:pPr>
      <w:r>
        <w:t>Appendix A — Decision Vocabulary</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680"/>
            <w:shd w:fill="EAF1F8"/>
            <w:vAlign w:val="center"/>
          </w:tcPr>
          <w:p>
            <w:r>
              <w:rPr>
                <w:b/>
              </w:rPr>
              <w:t>Term</w:t>
            </w:r>
          </w:p>
        </w:tc>
        <w:tc>
          <w:tcPr>
            <w:tcW w:type="dxa" w:w="4680"/>
            <w:shd w:fill="EAF1F8"/>
            <w:vAlign w:val="center"/>
          </w:tcPr>
          <w:p>
            <w:r>
              <w:rPr>
                <w:b/>
              </w:rPr>
              <w:t>Working definition</w:t>
            </w:r>
          </w:p>
        </w:tc>
      </w:tr>
      <w:tr>
        <w:tc>
          <w:tcPr>
            <w:tcW w:type="dxa" w:w="4680"/>
            <w:vAlign w:val="center"/>
          </w:tcPr>
          <w:p>
            <w:r>
              <w:t>Canonical term</w:t>
            </w:r>
          </w:p>
        </w:tc>
        <w:tc>
          <w:tcPr>
            <w:tcW w:type="dxa" w:w="4680"/>
            <w:vAlign w:val="center"/>
          </w:tcPr>
          <w:p>
            <w:r>
              <w:t>A governed concept in Core Terms; not a product workflow or permission.</w:t>
            </w:r>
          </w:p>
        </w:tc>
      </w:tr>
      <w:tr>
        <w:tc>
          <w:tcPr>
            <w:tcW w:type="dxa" w:w="4680"/>
            <w:vAlign w:val="center"/>
          </w:tcPr>
          <w:p>
            <w:r>
              <w:t>Portable View</w:t>
            </w:r>
          </w:p>
        </w:tc>
        <w:tc>
          <w:tcPr>
            <w:tcW w:type="dxa" w:w="4680"/>
            <w:vAlign w:val="center"/>
          </w:tcPr>
          <w:p>
            <w:r>
              <w:t>A named projection over canonical terms for a subscriber’s presentation needs.</w:t>
            </w:r>
          </w:p>
        </w:tc>
      </w:tr>
      <w:tr>
        <w:tc>
          <w:tcPr>
            <w:tcW w:type="dxa" w:w="4680"/>
            <w:vAlign w:val="center"/>
          </w:tcPr>
          <w:p>
            <w:r>
              <w:t>Subscriber policy</w:t>
            </w:r>
          </w:p>
        </w:tc>
        <w:tc>
          <w:tcPr>
            <w:tcW w:type="dxa" w:w="4680"/>
            <w:vAlign w:val="center"/>
          </w:tcPr>
          <w:p>
            <w:r>
              <w:t>Rules governing how a subscriber presents and permits selection of a View.</w:t>
            </w:r>
          </w:p>
        </w:tc>
      </w:tr>
      <w:tr>
        <w:tc>
          <w:tcPr>
            <w:tcW w:type="dxa" w:w="4680"/>
            <w:vAlign w:val="center"/>
          </w:tcPr>
          <w:p>
            <w:r>
              <w:t>Explicit interest</w:t>
            </w:r>
          </w:p>
        </w:tc>
        <w:tc>
          <w:tcPr>
            <w:tcW w:type="dxa" w:w="4680"/>
            <w:vAlign w:val="center"/>
          </w:tcPr>
          <w:p>
            <w:r>
              <w:t>A user-selected or user-affirmed interest.</w:t>
            </w:r>
          </w:p>
        </w:tc>
      </w:tr>
      <w:tr>
        <w:tc>
          <w:tcPr>
            <w:tcW w:type="dxa" w:w="4680"/>
            <w:vAlign w:val="center"/>
          </w:tcPr>
          <w:p>
            <w:r>
              <w:t>Inferred interest</w:t>
            </w:r>
          </w:p>
        </w:tc>
        <w:tc>
          <w:tcPr>
            <w:tcW w:type="dxa" w:w="4680"/>
            <w:vAlign w:val="center"/>
          </w:tcPr>
          <w:p>
            <w:r>
              <w:t>A system hypothesis derived from evidence; not consent.</w:t>
            </w:r>
          </w:p>
        </w:tc>
      </w:tr>
      <w:tr>
        <w:tc>
          <w:tcPr>
            <w:tcW w:type="dxa" w:w="4680"/>
            <w:vAlign w:val="center"/>
          </w:tcPr>
          <w:p>
            <w:r>
              <w:t>Behavioral evidence</w:t>
            </w:r>
          </w:p>
        </w:tc>
        <w:tc>
          <w:tcPr>
            <w:tcW w:type="dxa" w:w="4680"/>
            <w:vAlign w:val="center"/>
          </w:tcPr>
          <w:p>
            <w:r>
              <w:t>Membership, reading, posting, search, selection, saving, or engagement signal.</w:t>
            </w:r>
          </w:p>
        </w:tc>
      </w:tr>
      <w:tr>
        <w:tc>
          <w:tcPr>
            <w:tcW w:type="dxa" w:w="4680"/>
            <w:vAlign w:val="center"/>
          </w:tcPr>
          <w:p>
            <w:r>
              <w:t>Relationship</w:t>
            </w:r>
          </w:p>
        </w:tc>
        <w:tc>
          <w:tcPr>
            <w:tcW w:type="dxa" w:w="4680"/>
            <w:vAlign w:val="center"/>
          </w:tcPr>
          <w:p>
            <w:r>
              <w:t>An approved or proposed connection between governed concepts with rationale and provenance.</w:t>
            </w:r>
          </w:p>
        </w:tc>
      </w:tr>
      <w:tr>
        <w:tc>
          <w:tcPr>
            <w:tcW w:type="dxa" w:w="4680"/>
            <w:vAlign w:val="center"/>
          </w:tcPr>
          <w:p>
            <w:r>
              <w:t>Communication subscription</w:t>
            </w:r>
          </w:p>
        </w:tc>
        <w:tc>
          <w:tcPr>
            <w:tcW w:type="dxa" w:w="4680"/>
            <w:vAlign w:val="center"/>
          </w:tcPr>
          <w:p>
            <w:r>
              <w:t>Permission to receive a stated category or event purpose.</w:t>
            </w:r>
          </w:p>
        </w:tc>
      </w:tr>
      <w:tr>
        <w:tc>
          <w:tcPr>
            <w:tcW w:type="dxa" w:w="4680"/>
            <w:vAlign w:val="center"/>
          </w:tcPr>
          <w:p>
            <w:r>
              <w:t>Event ledger</w:t>
            </w:r>
          </w:p>
        </w:tc>
        <w:tc>
          <w:tcPr>
            <w:tcW w:type="dxa" w:w="4680"/>
            <w:vAlign w:val="center"/>
          </w:tcPr>
          <w:p>
            <w:r>
              <w:t>Immutable record of candidate event, moderation, eligibility, delivery, and cancellation history.</w:t>
            </w:r>
          </w:p>
        </w:tc>
      </w:tr>
      <w:tr>
        <w:tc>
          <w:tcPr>
            <w:tcW w:type="dxa" w:w="4680"/>
            <w:vAlign w:val="center"/>
          </w:tcPr>
          <w:p>
            <w:r>
              <w:t>Authority</w:t>
            </w:r>
          </w:p>
        </w:tc>
        <w:tc>
          <w:tcPr>
            <w:tcW w:type="dxa" w:w="4680"/>
            <w:vAlign w:val="center"/>
          </w:tcPr>
          <w:p>
            <w:r>
              <w:t>The system or product allowed to decide a fact or workflow.</w:t>
            </w:r>
          </w:p>
        </w:tc>
      </w:tr>
    </w:tbl>
    <w:p>
      <w:pPr>
        <w:spacing w:after="20"/>
      </w:pPr>
    </w:p>
    <w:p>
      <w:pPr>
        <w:pStyle w:val="Heading1"/>
      </w:pPr>
      <w:r>
        <w:t>Appendix B — Validation and Handoff</w:t>
      </w:r>
    </w:p>
    <w:p>
      <w:r>
        <w:t>Before implementation, review the authority matrix, contract cards, pilot scope, risk controls, and exclusions as one package. Future Codex sessions should load the canonical Community 3.0 working draft, this approach document, the active Project Cursor, and the Engineering Handoff before acting. Any implementation ticket must identify the approved contract or ADR it advances and the exact boundary it must not cross.</w:t>
      </w:r>
    </w:p>
    <w:p>
      <w:r>
        <w:t>The canonical Markdown remains the source-faithful architecture and context record. This Word document is the strategic approach and execution sequence for moving from that architecture toward evidence-backed implementation. It should be revised when a governing decision changes, not whenever an implementation detail happens to be convenient.</w:t>
      </w:r>
    </w:p>
    <w:p>
      <w:pPr>
        <w:pStyle w:val="Heading1"/>
      </w:pPr>
      <w:r>
        <w:t>Architectural Evolution</w:t>
      </w:r>
    </w:p>
    <w:p>
      <w:r>
        <w:t>The program began with a legacy chatboard/group notification defect. Investigation showed that preference storage existed without a complete delivery system: consent resolution, moderation, suppression, queueing, deduplication, transport, and rollback were not one auditable boundary. That discovery exposed the need for a Communications Platform.</w:t>
      </w:r>
    </w:p>
    <w:p>
      <w:r>
        <w:t>The Communications Platform then needed stable semantic categories and reusable subscriber inputs. Core Terms became a subscriber architecture, not merely a classification utility. Job Center is the first major subscriber because it needs reusable subject, grade, role, and population dimensions while retaining authority over jobs and employers. Chatboards and Groups follow as the second major subscriber: their surfaces and memberships remain Community-owned, while subjects can use shared terms.</w:t>
      </w:r>
    </w:p>
    <w:p>
      <w:r>
        <w:t>That pattern exposed the difference between product facts and user meaning. Profiles and onboarding need explicit interests; membership, reading, posting, search, and saved jobs can provide behavioral evidence; none is automatically consent. Different products also need different presentations of the same concepts, leading to Portable Views and subscriber selection policies. Cross-cutting concepts then required semantic relationships and behavioral affinities without turning every related concept into a parent or every behavior into a canonical fact. These layers form the broader Teachers.Net Semantic Platform.</w:t>
      </w:r>
    </w:p>
    <w:p>
      <w:pPr>
        <w:pStyle w:val="Heading1"/>
      </w:pPr>
      <w:r>
        <w:t>Central Architecture Model</w:t>
      </w:r>
    </w:p>
    <w:p>
      <w:r>
        <w:t>Core Terms owns canonical semantic identity. Views own portable presentation arrangements. Subscriber policies own selection rules. Subscribers own product facts and workflows. Relationships connect concepts across hierarchy. User-interest evidence supports relevance. Communications consent independently controls delivery.</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shd w:fill="EAF1F8"/>
          </w:tcPr>
          <w:p>
            <w:r>
              <w:rPr>
                <w:b/>
              </w:rPr>
              <w:t>Flow</w:t>
            </w:r>
          </w:p>
        </w:tc>
        <w:tc>
          <w:tcPr>
            <w:tcW w:type="dxa" w:w="4680"/>
            <w:shd w:fill="EAF1F8"/>
          </w:tcPr>
          <w:p>
            <w:r>
              <w:rPr>
                <w:b/>
              </w:rPr>
              <w:t>Role</w:t>
            </w:r>
          </w:p>
        </w:tc>
      </w:tr>
      <w:tr>
        <w:tc>
          <w:tcPr>
            <w:tcW w:type="dxa" w:w="4680"/>
          </w:tcPr>
          <w:p>
            <w:r>
              <w:t>Core Terms Library</w:t>
            </w:r>
          </w:p>
        </w:tc>
        <w:tc>
          <w:tcPr>
            <w:tcW w:type="dxa" w:w="4680"/>
          </w:tcPr>
          <w:p>
            <w:r>
              <w:t>Canonical semantic identity, hierarchy, aliases, and governed meaning.</w:t>
            </w:r>
          </w:p>
        </w:tc>
      </w:tr>
      <w:tr>
        <w:tc>
          <w:tcPr>
            <w:tcW w:type="dxa" w:w="4680"/>
          </w:tcPr>
          <w:p>
            <w:r>
              <w:t>↓ Portable Views</w:t>
            </w:r>
          </w:p>
        </w:tc>
        <w:tc>
          <w:tcPr>
            <w:tcW w:type="dxa" w:w="4680"/>
          </w:tcPr>
          <w:p>
            <w:r>
              <w:t>Reusable presentation arrangements over referenced terms.</w:t>
            </w:r>
          </w:p>
        </w:tc>
      </w:tr>
      <w:tr>
        <w:tc>
          <w:tcPr>
            <w:tcW w:type="dxa" w:w="4680"/>
          </w:tcPr>
          <w:p>
            <w:r>
              <w:t>↓ Subscriber Selection Policies</w:t>
            </w:r>
          </w:p>
        </w:tc>
        <w:tc>
          <w:tcPr>
            <w:tcW w:type="dxa" w:w="4680"/>
          </w:tcPr>
          <w:p>
            <w:r>
              <w:t>Required/optional fields, counts, validation, timing, and selection rules.</w:t>
            </w:r>
          </w:p>
        </w:tc>
      </w:tr>
      <w:tr>
        <w:tc>
          <w:tcPr>
            <w:tcW w:type="dxa" w:w="4680"/>
          </w:tcPr>
          <w:p>
            <w:r>
              <w:t>↓ Subscriber Fields and Experiences</w:t>
            </w:r>
          </w:p>
        </w:tc>
        <w:tc>
          <w:tcPr>
            <w:tcW w:type="dxa" w:w="4680"/>
          </w:tcPr>
          <w:p>
            <w:r>
              <w:t>Product-owned forms, fields, search, onboarding, and communication choices.</w:t>
            </w:r>
          </w:p>
        </w:tc>
      </w:tr>
    </w:tbl>
    <w:p/>
    <w:p>
      <w:r>
        <w:t>Subscribers include Job Center, Chatboards/Groups, Profiles and onboarding, Communications, Lesson Bank, Search, Recommendations, and future products.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fill="EAF1F8"/>
          </w:tcPr>
          <w:p>
            <w:r>
              <w:rPr>
                <w:b/>
              </w:rPr>
              <w:t>Parallel evidence</w:t>
            </w:r>
          </w:p>
        </w:tc>
        <w:tc>
          <w:tcPr>
            <w:tcW w:type="dxa" w:w="3120"/>
            <w:shd w:fill="EAF1F8"/>
          </w:tcPr>
          <w:p>
            <w:r>
              <w:rPr>
                <w:b/>
              </w:rPr>
              <w:t>Feeds</w:t>
            </w:r>
          </w:p>
        </w:tc>
        <w:tc>
          <w:tcPr>
            <w:tcW w:type="dxa" w:w="3120"/>
            <w:shd w:fill="EAF1F8"/>
          </w:tcPr>
          <w:p>
            <w:r>
              <w:rPr>
                <w:b/>
              </w:rPr>
              <w:t>Boundary</w:t>
            </w:r>
          </w:p>
        </w:tc>
      </w:tr>
      <w:tr>
        <w:tc>
          <w:tcPr>
            <w:tcW w:type="dxa" w:w="3120"/>
          </w:tcPr>
          <w:p>
            <w:r>
              <w:t>Relationship Graph</w:t>
            </w:r>
          </w:p>
        </w:tc>
        <w:tc>
          <w:tcPr>
            <w:tcW w:type="dxa" w:w="3120"/>
          </w:tcPr>
          <w:p>
            <w:r>
              <w:t>Discovery and recommendation explanations.</w:t>
            </w:r>
          </w:p>
        </w:tc>
        <w:tc>
          <w:tcPr>
            <w:tcW w:type="dxa" w:w="3120"/>
          </w:tcPr>
          <w:p>
            <w:r>
              <w:t>Connects concepts; never silently redefines hierarchy.</w:t>
            </w:r>
          </w:p>
        </w:tc>
      </w:tr>
      <w:tr>
        <w:tc>
          <w:tcPr>
            <w:tcW w:type="dxa" w:w="3120"/>
          </w:tcPr>
          <w:p>
            <w:r>
              <w:t>User-interest evidence</w:t>
            </w:r>
          </w:p>
        </w:tc>
        <w:tc>
          <w:tcPr>
            <w:tcW w:type="dxa" w:w="3120"/>
          </w:tcPr>
          <w:p>
            <w:r>
              <w:t>Relevance, onboarding refinement, recommendations.</w:t>
            </w:r>
          </w:p>
        </w:tc>
        <w:tc>
          <w:tcPr>
            <w:tcW w:type="dxa" w:w="3120"/>
          </w:tcPr>
          <w:p>
            <w:r>
              <w:t>Supports relevance; never becomes canonical meaning or consent.</w:t>
            </w:r>
          </w:p>
        </w:tc>
      </w:tr>
    </w:tbl>
    <w:p/>
    <w:p>
      <w:pPr>
        <w:pStyle w:val="Heading1"/>
      </w:pPr>
      <w:r>
        <w:t>Portable Views as First-Class Governed Assets</w:t>
      </w:r>
    </w:p>
    <w:p>
      <w:r>
        <w:t>A View is a named, reusable projection over canonical Core Terms. It stores references rather than copies and may include selected and excluded terms, ordering, display grouping, view-local nesting, featured and hidden terms, and subscriber-local labels where permitted. It can be cloned as a template and reused across products without making terms product-owned.</w:t>
      </w:r>
    </w:p>
    <w:p>
      <w:r>
        <w:t>A View may reorganize presentation without redefining semantic truth. Canonical parentage remains in Core Terms; View-local display nesting is a presentation decision. Its lifecycle is draft, preview, publish, subscriber binding, impact analysis, rollback, deprecation, and retirement. Publishing must show affected subscribers, fields, policies, and rollback version.</w:t>
      </w:r>
    </w:p>
    <w:p>
      <w:pPr>
        <w:pStyle w:val="Heading1"/>
      </w:pPr>
      <w:r>
        <w:t>Bounded Job Center View Pilot</w:t>
      </w:r>
    </w:p>
    <w:p>
      <w:r>
        <w:t>Test one dimension, preferably Subjects or Grade Levels: expandable Core Terms tree; checkbox selection; bulk import into a draft View; second-stage drag-and-drop arrangement; sibling and display-parent grouping; employer-facing field preview; one explicit selection policy; version and rollback evidence. Do not write to production, migrate existing listings, or change Jobs authority.</w:t>
      </w:r>
    </w:p>
    <w:p>
      <w:r>
        <w:t>The pilot must answer: can administrators compose a usable field efficiently; can a View be reused or cloned; can local presentation differ without corrupting canonical hierarchy; can a subscriber consume without owning or copying terms; and can changes be previewed, impact-assessed, versioned, and rolled back?</w:t>
      </w:r>
    </w:p>
    <w:p>
      <w:pPr>
        <w:pStyle w:val="Heading1"/>
      </w:pPr>
      <w:r>
        <w:t>Explicit Project Sequence and Gates</w:t>
      </w:r>
    </w:p>
    <w:p>
      <w:r>
        <w:t>Communications and Recommendations are separate phases. Communications determines whether an event may be delivered under consent, moderation, suppression, limits, and transport controls. Recommendations determine what may be relevant and how to explain why. Relevance must not masquerade as delivery permission.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872"/>
            <w:shd w:fill="EAF1F8"/>
          </w:tcPr>
          <w:p>
            <w:r>
              <w:rPr>
                <w:b/>
              </w:rPr>
              <w:t>Phase / objective</w:t>
            </w:r>
          </w:p>
        </w:tc>
        <w:tc>
          <w:tcPr>
            <w:tcW w:type="dxa" w:w="1872"/>
            <w:shd w:fill="EAF1F8"/>
          </w:tcPr>
          <w:p>
            <w:r>
              <w:rPr>
                <w:b/>
              </w:rPr>
              <w:t>Deliverable</w:t>
            </w:r>
          </w:p>
        </w:tc>
        <w:tc>
          <w:tcPr>
            <w:tcW w:type="dxa" w:w="1872"/>
            <w:shd w:fill="EAF1F8"/>
          </w:tcPr>
          <w:p>
            <w:r>
              <w:rPr>
                <w:b/>
              </w:rPr>
              <w:t>Dependency</w:t>
            </w:r>
          </w:p>
        </w:tc>
        <w:tc>
          <w:tcPr>
            <w:tcW w:type="dxa" w:w="1872"/>
            <w:shd w:fill="EAF1F8"/>
          </w:tcPr>
          <w:p>
            <w:r>
              <w:rPr>
                <w:b/>
              </w:rPr>
              <w:t>Exclusion</w:t>
            </w:r>
          </w:p>
        </w:tc>
        <w:tc>
          <w:tcPr>
            <w:tcW w:type="dxa" w:w="1872"/>
            <w:shd w:fill="EAF1F8"/>
          </w:tcPr>
          <w:p>
            <w:r>
              <w:rPr>
                <w:b/>
              </w:rPr>
              <w:t>Exit criterion</w:t>
            </w:r>
          </w:p>
        </w:tc>
      </w:tr>
      <w:tr>
        <w:tc>
          <w:tcPr>
            <w:tcW w:type="dxa" w:w="1872"/>
          </w:tcPr>
          <w:p>
            <w:r>
              <w:t>0 Authority/document alignment</w:t>
            </w:r>
          </w:p>
        </w:tc>
        <w:tc>
          <w:tcPr>
            <w:tcW w:type="dxa" w:w="1872"/>
          </w:tcPr>
          <w:p>
            <w:r>
              <w:t>Authority matrix, glossary, contradiction log</w:t>
            </w:r>
          </w:p>
        </w:tc>
        <w:tc>
          <w:tcPr>
            <w:tcW w:type="dxa" w:w="1872"/>
          </w:tcPr>
          <w:p>
            <w:r>
              <w:t>Existing authority docs</w:t>
            </w:r>
          </w:p>
        </w:tc>
        <w:tc>
          <w:tcPr>
            <w:tcW w:type="dxa" w:w="1872"/>
          </w:tcPr>
          <w:p>
            <w:r>
              <w:t>No coding</w:t>
            </w:r>
          </w:p>
        </w:tc>
        <w:tc>
          <w:tcPr>
            <w:tcW w:type="dxa" w:w="1872"/>
          </w:tcPr>
          <w:p>
            <w:r>
              <w:t>Approved source set and stop conditions</w:t>
            </w:r>
          </w:p>
        </w:tc>
      </w:tr>
      <w:tr>
        <w:tc>
          <w:tcPr>
            <w:tcW w:type="dxa" w:w="1872"/>
          </w:tcPr>
          <w:p>
            <w:r>
              <w:t>1 Core Terms/meta-term audit</w:t>
            </w:r>
          </w:p>
        </w:tc>
        <w:tc>
          <w:tcPr>
            <w:tcW w:type="dxa" w:w="1872"/>
          </w:tcPr>
          <w:p>
            <w:r>
              <w:t>Consumer inventory and meta-term dispositions</w:t>
            </w:r>
          </w:p>
        </w:tc>
        <w:tc>
          <w:tcPr>
            <w:tcW w:type="dxa" w:w="1872"/>
          </w:tcPr>
          <w:p>
            <w:r>
              <w:t>Core Terms records</w:t>
            </w:r>
          </w:p>
        </w:tc>
        <w:tc>
          <w:tcPr>
            <w:tcW w:type="dxa" w:w="1872"/>
          </w:tcPr>
          <w:p>
            <w:r>
              <w:t>No deletion/retirement</w:t>
            </w:r>
          </w:p>
        </w:tc>
        <w:tc>
          <w:tcPr>
            <w:tcW w:type="dxa" w:w="1872"/>
          </w:tcPr>
          <w:p>
            <w:r>
              <w:t>Every term has disposition or open question</w:t>
            </w:r>
          </w:p>
        </w:tc>
      </w:tr>
      <w:tr>
        <w:tc>
          <w:tcPr>
            <w:tcW w:type="dxa" w:w="1872"/>
          </w:tcPr>
          <w:p>
            <w:r>
              <w:t>2 Subscriber contracts</w:t>
            </w:r>
          </w:p>
        </w:tc>
        <w:tc>
          <w:tcPr>
            <w:tcW w:type="dxa" w:w="1872"/>
          </w:tcPr>
          <w:p>
            <w:r>
              <w:t>Producer/consumer field, provenance, freshness, failure model</w:t>
            </w:r>
          </w:p>
        </w:tc>
        <w:tc>
          <w:tcPr>
            <w:tcW w:type="dxa" w:w="1872"/>
          </w:tcPr>
          <w:p>
            <w:r>
              <w:t>Authority matrix</w:t>
            </w:r>
          </w:p>
        </w:tc>
        <w:tc>
          <w:tcPr>
            <w:tcW w:type="dxa" w:w="1872"/>
          </w:tcPr>
          <w:p>
            <w:r>
              <w:t>No shared-table implementation</w:t>
            </w:r>
          </w:p>
        </w:tc>
        <w:tc>
          <w:tcPr>
            <w:tcW w:type="dxa" w:w="1872"/>
          </w:tcPr>
          <w:p>
            <w:r>
              <w:t>One contract passes review</w:t>
            </w:r>
          </w:p>
        </w:tc>
      </w:tr>
      <w:tr>
        <w:tc>
          <w:tcPr>
            <w:tcW w:type="dxa" w:w="1872"/>
          </w:tcPr>
          <w:p>
            <w:r>
              <w:t>3 Portable View governance</w:t>
            </w:r>
          </w:p>
        </w:tc>
        <w:tc>
          <w:tcPr>
            <w:tcW w:type="dxa" w:w="1872"/>
          </w:tcPr>
          <w:p>
            <w:r>
              <w:t>View contract, lifecycle, binding, version, rollback</w:t>
            </w:r>
          </w:p>
        </w:tc>
        <w:tc>
          <w:tcPr>
            <w:tcW w:type="dxa" w:w="1872"/>
          </w:tcPr>
          <w:p>
            <w:r>
              <w:t>Core Terms and contracts</w:t>
            </w:r>
          </w:p>
        </w:tc>
        <w:tc>
          <w:tcPr>
            <w:tcW w:type="dxa" w:w="1872"/>
          </w:tcPr>
          <w:p>
            <w:r>
              <w:t>No generic builder</w:t>
            </w:r>
          </w:p>
        </w:tc>
        <w:tc>
          <w:tcPr>
            <w:tcW w:type="dxa" w:w="1872"/>
          </w:tcPr>
          <w:p>
            <w:r>
              <w:t>Approval and lifecycle explicit</w:t>
            </w:r>
          </w:p>
        </w:tc>
      </w:tr>
      <w:tr>
        <w:tc>
          <w:tcPr>
            <w:tcW w:type="dxa" w:w="1872"/>
          </w:tcPr>
          <w:p>
            <w:r>
              <w:t>4 Job Center pilot</w:t>
            </w:r>
          </w:p>
        </w:tc>
        <w:tc>
          <w:tcPr>
            <w:tcW w:type="dxa" w:w="1872"/>
          </w:tcPr>
          <w:p>
            <w:r>
              <w:t>Bounded Subjects/Grades View proof and fixtures</w:t>
            </w:r>
          </w:p>
        </w:tc>
        <w:tc>
          <w:tcPr>
            <w:tcW w:type="dxa" w:w="1872"/>
          </w:tcPr>
          <w:p>
            <w:r>
              <w:t>Phases 1–3; Jobs authority</w:t>
            </w:r>
          </w:p>
        </w:tc>
        <w:tc>
          <w:tcPr>
            <w:tcW w:type="dxa" w:w="1872"/>
          </w:tcPr>
          <w:p>
            <w:r>
              <w:t>No write-back/listing migration</w:t>
            </w:r>
          </w:p>
        </w:tc>
        <w:tc>
          <w:tcPr>
            <w:tcW w:type="dxa" w:w="1872"/>
          </w:tcPr>
          <w:p>
            <w:r>
              <w:t>Five pilot questions answered</w:t>
            </w:r>
          </w:p>
        </w:tc>
      </w:tr>
      <w:tr>
        <w:tc>
          <w:tcPr>
            <w:tcW w:type="dxa" w:w="1872"/>
          </w:tcPr>
          <w:p>
            <w:r>
              <w:t>5 Chatboard mapping</w:t>
            </w:r>
          </w:p>
        </w:tc>
        <w:tc>
          <w:tcPr>
            <w:tcW w:type="dxa" w:w="1872"/>
          </w:tcPr>
          <w:p>
            <w:r>
              <w:t>One cohort census and path/group reconciliation</w:t>
            </w:r>
          </w:p>
        </w:tc>
        <w:tc>
          <w:tcPr>
            <w:tcW w:type="dxa" w:w="1872"/>
          </w:tcPr>
          <w:p>
            <w:r>
              <w:t>Legacy identity and terms</w:t>
            </w:r>
          </w:p>
        </w:tc>
        <w:tc>
          <w:tcPr>
            <w:tcW w:type="dxa" w:w="1872"/>
          </w:tcPr>
          <w:p>
            <w:r>
              <w:t>No global remap/auto-subscribe</w:t>
            </w:r>
          </w:p>
        </w:tc>
        <w:tc>
          <w:tcPr>
            <w:tcW w:type="dxa" w:w="1872"/>
          </w:tcPr>
          <w:p>
            <w:r>
              <w:t>Ambiguities disposed</w:t>
            </w:r>
          </w:p>
        </w:tc>
      </w:tr>
      <w:tr>
        <w:tc>
          <w:tcPr>
            <w:tcW w:type="dxa" w:w="1872"/>
          </w:tcPr>
          <w:p>
            <w:r>
              <w:t>6 Interest/profile evidence</w:t>
            </w:r>
          </w:p>
        </w:tc>
        <w:tc>
          <w:tcPr>
            <w:tcW w:type="dxa" w:w="1872"/>
          </w:tcPr>
          <w:p>
            <w:r>
              <w:t>Explicit/inferred/evidence source, confidence, retention, correction, expiry</w:t>
            </w:r>
          </w:p>
        </w:tc>
        <w:tc>
          <w:tcPr>
            <w:tcW w:type="dxa" w:w="1872"/>
          </w:tcPr>
          <w:p>
            <w:r>
              <w:t>Profiles, terms, privacy</w:t>
            </w:r>
          </w:p>
        </w:tc>
        <w:tc>
          <w:tcPr>
            <w:tcW w:type="dxa" w:w="1872"/>
          </w:tcPr>
          <w:p>
            <w:r>
              <w:t>No opaque score</w:t>
            </w:r>
          </w:p>
        </w:tc>
        <w:tc>
          <w:tcPr>
            <w:tcW w:type="dxa" w:w="1872"/>
          </w:tcPr>
          <w:p>
            <w:r>
              <w:t>Signal lifecycles approved</w:t>
            </w:r>
          </w:p>
        </w:tc>
      </w:tr>
      <w:tr>
        <w:tc>
          <w:tcPr>
            <w:tcW w:type="dxa" w:w="1872"/>
          </w:tcPr>
          <w:p>
            <w:r>
              <w:t>7 Onboarding design</w:t>
            </w:r>
          </w:p>
        </w:tc>
        <w:tc>
          <w:tcPr>
            <w:tcW w:type="dxa" w:w="1872"/>
          </w:tcPr>
          <w:p>
            <w:r>
              <w:t>Progressive professional dimensions and interests</w:t>
            </w:r>
          </w:p>
        </w:tc>
        <w:tc>
          <w:tcPr>
            <w:tcW w:type="dxa" w:w="1872"/>
          </w:tcPr>
          <w:p>
            <w:r>
              <w:t>Interest model and policies</w:t>
            </w:r>
          </w:p>
        </w:tc>
        <w:tc>
          <w:tcPr>
            <w:tcW w:type="dxa" w:w="1872"/>
          </w:tcPr>
          <w:p>
            <w:r>
              <w:t>No forced taxonomy dump</w:t>
            </w:r>
          </w:p>
        </w:tc>
        <w:tc>
          <w:tcPr>
            <w:tcW w:type="dxa" w:w="1872"/>
          </w:tcPr>
          <w:p>
            <w:r>
              <w:t>First-session value defined</w:t>
            </w:r>
          </w:p>
        </w:tc>
      </w:tr>
      <w:tr>
        <w:tc>
          <w:tcPr>
            <w:tcW w:type="dxa" w:w="1872"/>
          </w:tcPr>
          <w:p>
            <w:r>
              <w:t>8 Communications consent</w:t>
            </w:r>
          </w:p>
        </w:tc>
        <w:tc>
          <w:tcPr>
            <w:tcW w:type="dxa" w:w="1872"/>
          </w:tcPr>
          <w:p>
            <w:r>
              <w:t>Preference history, pause, opt-out, suppression, resolver precedence</w:t>
            </w:r>
          </w:p>
        </w:tc>
        <w:tc>
          <w:tcPr>
            <w:tcW w:type="dxa" w:w="1872"/>
          </w:tcPr>
          <w:p>
            <w:r>
              <w:t>Subscriber/privacy contracts</w:t>
            </w:r>
          </w:p>
        </w:tc>
        <w:tc>
          <w:tcPr>
            <w:tcW w:type="dxa" w:w="1872"/>
          </w:tcPr>
          <w:p>
            <w:r>
              <w:t>No delivery rollout</w:t>
            </w:r>
          </w:p>
        </w:tc>
        <w:tc>
          <w:tcPr>
            <w:tcW w:type="dxa" w:w="1872"/>
          </w:tcPr>
          <w:p>
            <w:r>
              <w:t>Consent rules approved</w:t>
            </w:r>
          </w:p>
        </w:tc>
      </w:tr>
      <w:tr>
        <w:tc>
          <w:tcPr>
            <w:tcW w:type="dxa" w:w="1872"/>
          </w:tcPr>
          <w:p>
            <w:r>
              <w:t>9 Event/delivery architecture</w:t>
            </w:r>
          </w:p>
        </w:tc>
        <w:tc>
          <w:tcPr>
            <w:tcW w:type="dxa" w:w="1872"/>
          </w:tcPr>
          <w:p>
            <w:r>
              <w:t>Ledger, moderation, promotion, queue, dedupe, limits, transport, audit, kill switches</w:t>
            </w:r>
          </w:p>
        </w:tc>
        <w:tc>
          <w:tcPr>
            <w:tcW w:type="dxa" w:w="1872"/>
          </w:tcPr>
          <w:p>
            <w:r>
              <w:t>Phase 8 and moderation</w:t>
            </w:r>
          </w:p>
        </w:tc>
        <w:tc>
          <w:tcPr>
            <w:tcW w:type="dxa" w:w="1872"/>
          </w:tcPr>
          <w:p>
            <w:r>
              <w:t>No campaigns/provider optimization</w:t>
            </w:r>
          </w:p>
        </w:tc>
        <w:tc>
          <w:tcPr>
            <w:tcW w:type="dxa" w:w="1872"/>
          </w:tcPr>
          <w:p>
            <w:r>
              <w:t>Failure states specified</w:t>
            </w:r>
          </w:p>
        </w:tc>
      </w:tr>
      <w:tr>
        <w:tc>
          <w:tcPr>
            <w:tcW w:type="dxa" w:w="1872"/>
          </w:tcPr>
          <w:p>
            <w:r>
              <w:t>10 Relationship approval</w:t>
            </w:r>
          </w:p>
        </w:tc>
        <w:tc>
          <w:tcPr>
            <w:tcW w:type="dxa" w:w="1872"/>
          </w:tcPr>
          <w:p>
            <w:r>
              <w:t>Typed relationships, evidence, confidence, status, approver, expiry</w:t>
            </w:r>
          </w:p>
        </w:tc>
        <w:tc>
          <w:tcPr>
            <w:tcW w:type="dxa" w:w="1872"/>
          </w:tcPr>
          <w:p>
            <w:r>
              <w:t>Core Terms and governance</w:t>
            </w:r>
          </w:p>
        </w:tc>
        <w:tc>
          <w:tcPr>
            <w:tcW w:type="dxa" w:w="1872"/>
          </w:tcPr>
          <w:p>
            <w:r>
              <w:t>No auto-canonical activation</w:t>
            </w:r>
          </w:p>
        </w:tc>
        <w:tc>
          <w:tcPr>
            <w:tcW w:type="dxa" w:w="1872"/>
          </w:tcPr>
          <w:p>
            <w:r>
              <w:t>Approval contract clear</w:t>
            </w:r>
          </w:p>
        </w:tc>
      </w:tr>
      <w:tr>
        <w:tc>
          <w:tcPr>
            <w:tcW w:type="dxa" w:w="1872"/>
          </w:tcPr>
          <w:p>
            <w:r>
              <w:t>11 Relationship pilot</w:t>
            </w:r>
          </w:p>
        </w:tc>
        <w:tc>
          <w:tcPr>
            <w:tcW w:type="dxa" w:w="1872"/>
          </w:tcPr>
          <w:p>
            <w:r>
              <w:t>Targeted proposals with human dispositions</w:t>
            </w:r>
          </w:p>
        </w:tc>
        <w:tc>
          <w:tcPr>
            <w:tcW w:type="dxa" w:w="1872"/>
          </w:tcPr>
          <w:p>
            <w:r>
              <w:t>Phase 10 and cohort</w:t>
            </w:r>
          </w:p>
        </w:tc>
        <w:tc>
          <w:tcPr>
            <w:tcW w:type="dxa" w:w="1872"/>
          </w:tcPr>
          <w:p>
            <w:r>
              <w:t>No global graph</w:t>
            </w:r>
          </w:p>
        </w:tc>
        <w:tc>
          <w:tcPr>
            <w:tcW w:type="dxa" w:w="1872"/>
          </w:tcPr>
          <w:p>
            <w:r>
              <w:t>False positives measured</w:t>
            </w:r>
          </w:p>
        </w:tc>
      </w:tr>
      <w:tr>
        <w:tc>
          <w:tcPr>
            <w:tcW w:type="dxa" w:w="1872"/>
          </w:tcPr>
          <w:p>
            <w:r>
              <w:t>12 Recommendation proof</w:t>
            </w:r>
          </w:p>
        </w:tc>
        <w:tc>
          <w:tcPr>
            <w:tcW w:type="dxa" w:w="1872"/>
          </w:tcPr>
          <w:p>
            <w:r>
              <w:t>Small explainable results with reason codes</w:t>
            </w:r>
          </w:p>
        </w:tc>
        <w:tc>
          <w:tcPr>
            <w:tcW w:type="dxa" w:w="1872"/>
          </w:tcPr>
          <w:p>
            <w:r>
              <w:t>Terms, Views, relationships, interests</w:t>
            </w:r>
          </w:p>
        </w:tc>
        <w:tc>
          <w:tcPr>
            <w:tcW w:type="dxa" w:w="1872"/>
          </w:tcPr>
          <w:p>
            <w:r>
              <w:t>No opaque recommender</w:t>
            </w:r>
          </w:p>
        </w:tc>
        <w:tc>
          <w:tcPr>
            <w:tcW w:type="dxa" w:w="1872"/>
          </w:tcPr>
          <w:p>
            <w:r>
              <w:t>Reasons reversible</w:t>
            </w:r>
          </w:p>
        </w:tc>
      </w:tr>
      <w:tr>
        <w:tc>
          <w:tcPr>
            <w:tcW w:type="dxa" w:w="1872"/>
          </w:tcPr>
          <w:p>
            <w:r>
              <w:t>13 Product expansion</w:t>
            </w:r>
          </w:p>
        </w:tc>
        <w:tc>
          <w:tcPr>
            <w:tcW w:type="dxa" w:w="1872"/>
          </w:tcPr>
          <w:p>
            <w:r>
              <w:t>Adopt contracts product by product</w:t>
            </w:r>
          </w:p>
        </w:tc>
        <w:tc>
          <w:tcPr>
            <w:tcW w:type="dxa" w:w="1872"/>
          </w:tcPr>
          <w:p>
            <w:r>
              <w:t>All prior gates</w:t>
            </w:r>
          </w:p>
        </w:tc>
        <w:tc>
          <w:tcPr>
            <w:tcW w:type="dxa" w:w="1872"/>
          </w:tcPr>
          <w:p>
            <w:r>
              <w:t>No forced coupling</w:t>
            </w:r>
          </w:p>
        </w:tc>
        <w:tc>
          <w:tcPr>
            <w:tcW w:type="dxa" w:w="1872"/>
          </w:tcPr>
          <w:p>
            <w:r>
              <w:t>Products can pause or leave</w:t>
            </w:r>
          </w:p>
        </w:tc>
      </w:tr>
    </w:tbl>
    <w:p/>
    <w:p>
      <w:pPr>
        <w:pStyle w:val="Heading1"/>
      </w:pPr>
      <w:r>
        <w:t>Planning Decisions Required Before Coding</w:t>
      </w:r>
    </w:p>
    <w:p>
      <w:pPr>
        <w:pStyle w:val="ListBullet"/>
      </w:pPr>
      <w:r>
        <w:t>Dimensions: first-class entities, metadata, or governed term classes.</w:t>
      </w:r>
    </w:p>
    <w:p>
      <w:pPr>
        <w:pStyle w:val="ListBullet"/>
      </w:pPr>
      <w:r>
        <w:t>Whether View-local labels are permitted; how much local nesting is allowed; whether one term may appear more than once.</w:t>
      </w:r>
    </w:p>
    <w:p>
      <w:pPr>
        <w:pStyle w:val="ListBullet"/>
      </w:pPr>
      <w:r>
        <w:t>View ownership, approval authority, subscriber binding, and version compatibility.</w:t>
      </w:r>
    </w:p>
    <w:p>
      <w:pPr>
        <w:pStyle w:val="ListBullet"/>
      </w:pPr>
      <w:r>
        <w:t>Treatment of existing meta terms after audit.</w:t>
      </w:r>
    </w:p>
    <w:p>
      <w:pPr>
        <w:pStyle w:val="ListBullet"/>
      </w:pPr>
      <w:r>
        <w:t>Chatboard versus group technical identity, including path_id and group_id.</w:t>
      </w:r>
    </w:p>
    <w:p>
      <w:pPr>
        <w:pStyle w:val="ListBullet"/>
      </w:pPr>
      <w:r>
        <w:t>Explicit versus inferred interest storage, confidence, provenance, retention, correction, and expiry.</w:t>
      </w:r>
    </w:p>
    <w:p>
      <w:pPr>
        <w:pStyle w:val="ListBullet"/>
      </w:pPr>
      <w:r>
        <w:t>Canonical relationship approval roles and behavioral-affinity decay.</w:t>
      </w:r>
    </w:p>
    <w:p>
      <w:pPr>
        <w:pStyle w:val="ListBullet"/>
      </w:pPr>
      <w:r>
        <w:t>Communications preference hierarchy, including global pause, category, group override, suppression, and opt-out.</w:t>
      </w:r>
    </w:p>
    <w:p>
      <w:pPr>
        <w:pStyle w:val="ListBullet"/>
      </w:pPr>
      <w:r>
        <w:t>Publication versus promotion versus notification eligibility.</w:t>
      </w:r>
    </w:p>
    <w:p>
      <w:pPr>
        <w:pStyle w:val="ListBullet"/>
      </w:pPr>
      <w:r>
        <w:t>First authorized pilot and stop conditions.</w:t>
      </w:r>
    </w:p>
    <w:p>
      <w:r>
        <w:t>Where authority has not converged, mark a proposal as proposed default, decision needed, or deferred; do not let the first implementation silently answer it.</w:t>
      </w:r>
    </w:p>
    <w:p>
      <w:pPr>
        <w:pStyle w:val="Heading1"/>
      </w:pPr>
      <w:r>
        <w:t>First Planning Package</w:t>
      </w:r>
    </w:p>
    <w:p>
      <w:r>
        <w:t>Approve the smallest coherent package before implementation: authority matrix; terminology/glossary; meta-term audit plan; subscriber contract template; Portable View contract; selection-policy contract; bounded Job Center pilot definition; chatboard mapping cohort; open-decision register; ADR recommendations; and validation/stop conditions. This package should lead to a small number of design tickets, not dozens of implementation tickets.</w:t>
      </w:r>
    </w:p>
    <w:p>
      <w:pPr>
        <w:pStyle w:val="Heading1"/>
      </w:pPr>
      <w:r>
        <w:t>ADR Recommendations</w:t>
      </w:r>
    </w:p>
    <w:p>
      <w:pPr>
        <w:pStyle w:val="ListBullet"/>
      </w:pPr>
      <w:r>
        <w:t>Core Terms subscriber architecture.</w:t>
      </w:r>
    </w:p>
    <w:p>
      <w:pPr>
        <w:pStyle w:val="ListBullet"/>
      </w:pPr>
      <w:r>
        <w:t>Portable Views and subscriber selection policies.</w:t>
      </w:r>
    </w:p>
    <w:p>
      <w:pPr>
        <w:pStyle w:val="ListBullet"/>
      </w:pPr>
      <w:r>
        <w:t>Canonical hierarchy versus semantic relationships.</w:t>
      </w:r>
    </w:p>
    <w:p>
      <w:pPr>
        <w:pStyle w:val="ListBullet"/>
      </w:pPr>
      <w:r>
        <w:t>User interests versus membership, behavior, and consent.</w:t>
      </w:r>
    </w:p>
    <w:p>
      <w:pPr>
        <w:pStyle w:val="ListBullet"/>
      </w:pPr>
      <w:r>
        <w:t>Communications Platform as a shared service with email as a transport.</w:t>
      </w:r>
    </w:p>
    <w:p>
      <w:pPr>
        <w:pStyle w:val="ListBullet"/>
      </w:pPr>
      <w:r>
        <w:t>Machine-proposed versus human-approved canonical relationships.</w:t>
      </w:r>
    </w:p>
    <w:p>
      <w:r>
        <w:t>These are recommendations for ADR treatment, not claims that the ADRs already exist.</w:t>
      </w:r>
    </w:p>
    <w:p>
      <w:pPr>
        <w:pStyle w:val="Heading1"/>
      </w:pPr>
      <w:r>
        <w:t>Future Session Instructions</w:t>
      </w:r>
    </w:p>
    <w:p>
      <w:r>
        <w:t>Future ChatGPT or Codex sessions must load the canonical Semantic, Community, and Communications Platform working draft; this execution-plan DOCX; the active Project Cursor; the Engineering Handoff; and relevant Core Terms and subscriber contracts.</w:t>
      </w:r>
    </w:p>
    <w:p>
      <w:pPr>
        <w:pStyle w:val="ListBullet"/>
      </w:pPr>
      <w:r>
        <w:t>Do not treat proposals as implemented.</w:t>
      </w:r>
    </w:p>
    <w:p>
      <w:pPr>
        <w:pStyle w:val="ListBullet"/>
      </w:pPr>
      <w:r>
        <w:t>Do not collapse Jobs authority into Core Terms.</w:t>
      </w:r>
    </w:p>
    <w:p>
      <w:pPr>
        <w:pStyle w:val="ListBullet"/>
      </w:pPr>
      <w:r>
        <w:t>Do not equate membership with interest or interest with consent.</w:t>
      </w:r>
    </w:p>
    <w:p>
      <w:pPr>
        <w:pStyle w:val="ListBullet"/>
      </w:pPr>
      <w:r>
        <w:t>Do not use View nesting as canonical hierarchy.</w:t>
      </w:r>
    </w:p>
    <w:p>
      <w:pPr>
        <w:pStyle w:val="ListBullet"/>
      </w:pPr>
      <w:r>
        <w:t>Do not allow machine-generated relationships to become canonical without review.</w:t>
      </w:r>
    </w:p>
    <w:p>
      <w:pPr>
        <w:pStyle w:val="ListBullet"/>
      </w:pPr>
      <w:r>
        <w:t>Do not begin communication delivery before consent, suppression, moderation, audit, and kill-switch contracts are approved.</w:t>
      </w:r>
    </w:p>
    <w:sectPr w:rsidR="00FC693F" w:rsidRPr="0006063C" w:rsidSect="00034616">
      <w:headerReference w:type="default" r:id="rId9"/>
      <w:footerReference w:type="default" r:id="rId10"/>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Teachers.Net Semantic Platform  •  July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1F4E79"/>
      </w:rPr>
      <w:t>TEACHERS.NET  |  COMMUNITY 3.0  |  STRATEGIC APPROACH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59" w:lineRule="auto"/>
    </w:pPr>
    <w:rPr>
      <w:rFonts w:ascii="Calibri" w:hAnsi="Calibri" w:eastAsia="Calibri"/>
      <w:b w:val="0"/>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00" w:after="140" w:line="259"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20" w:after="100" w:line="259"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60" w:line="259" w:lineRule="auto"/>
      <w:outlineLvl w:val="2"/>
    </w:pPr>
    <w:rPr>
      <w:rFonts w:asciiTheme="majorHAnsi" w:eastAsiaTheme="majorEastAsia" w:hAnsiTheme="majorHAnsi" w:cstheme="majorBidi" w:ascii="Calibri" w:hAnsi="Calibri" w:eastAsia="Calibri"/>
      <w:b/>
      <w:bCs/>
      <w:color w:val="1F4D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Teachers.Net Semantic Platform — Project Approach and Execution Plan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