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Cost Of Borrow Sentiment Indicator</w:t>
      </w:r>
    </w:p>
    <w:p>
      <w:r>
        <w:rPr/>
        <w:t>Borrow-fee term-structure vs FRED OAS curve.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