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Enhanced Short Squeeze Prediction (SSR v4)</w:t>
      </w:r>
    </w:p>
    <w:p>
      <w:r>
        <w:rPr/>
        <w:t>SSR v3 plus Reddit buzz z-score &amp; uptick violation flag.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