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TRS / Swap Migration</w:t>
      </w:r>
    </w:p>
    <w:p>
      <w:r>
        <w:rPr/>
        <w:t>Hidden synthetic shorts via EU SFTR swap notionals.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