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Cross-Asset Sentiment Aggregation</w:t>
      </w:r>
    </w:p>
    <w:p>
      <w:r>
        <w:rPr/>
        <w:t>Holistic sentiment: Fee, OAS, SKEW, FINRA volumes.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