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EquiLend Financing Models – Technical Reference</w:t>
      </w:r>
    </w:p>
    <w:p>
      <w:pPr/>
      <w:r>
        <w:rPr>
          <w:rFonts w:ascii="Times" w:hAnsi="Times" w:cs="Times"/>
          <w:sz w:val="24"/>
          <w:sz-cs w:val="24"/>
        </w:rPr>
        <w:t xml:space="preserve">Generated 2025-06-29</w:t>
      </w:r>
    </w:p>
    <w:p>
      <w:pPr/>
      <w:r>
        <w:rPr>
          <w:rFonts w:ascii="Times" w:hAnsi="Times" w:cs="Times"/>
          <w:sz w:val="24"/>
          <w:sz-cs w:val="24"/>
        </w:rPr>
        <w:t xml:space="preserve">Model Catalog</w:t>
      </w:r>
    </w:p>
    <w:p>
      <w:pPr/>
      <w:r>
        <w:rPr>
          <w:rFonts w:ascii="Times" w:hAnsi="Times" w:cs="Times"/>
          <w:sz w:val="24"/>
          <w:sz-cs w:val="24"/>
        </w:rPr>
        <w:t xml:space="preserve">Short-Interest Momentum (SIM)</w:t>
      </w:r>
    </w:p>
    <w:p>
      <w:pPr/>
      <w:r>
        <w:rPr>
          <w:rFonts w:ascii="Times" w:hAnsi="Times" w:cs="Times"/>
          <w:sz w:val="24"/>
          <w:sz-cs w:val="24"/>
        </w:rPr>
        <w:t xml:space="preserve">Detects accelerating short build-up via daily change in shares on loan and borrow fees. Inputs: ΔOn-Loan Qty, ΔFee.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Borrow Cost Shock (BCS)</w:t>
      </w:r>
    </w:p>
    <w:p>
      <w:pPr/>
      <w:r>
        <w:rPr>
          <w:rFonts w:ascii="Times" w:hAnsi="Times" w:cs="Times"/>
          <w:sz w:val="24"/>
          <w:sz-cs w:val="24"/>
        </w:rPr>
        <w:t xml:space="preserve">Flags sudden scarcity events: 1-day fee spike vs 30-day σ.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Utilisation Persistence (UPI)</w:t>
      </w:r>
    </w:p>
    <w:p>
      <w:pPr/>
      <w:r>
        <w:rPr>
          <w:rFonts w:ascii="Times" w:hAnsi="Times" w:cs="Times"/>
          <w:sz w:val="24"/>
          <w:sz-cs w:val="24"/>
        </w:rPr>
        <w:t xml:space="preserve">Persistent tight supply signalled by 20-day average utilisation.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Fee Trend Z-Score (FTZ)</w:t>
      </w:r>
    </w:p>
    <w:p>
      <w:pPr/>
      <w:r>
        <w:rPr>
          <w:rFonts w:ascii="Times" w:hAnsi="Times" w:cs="Times"/>
          <w:sz w:val="24"/>
          <w:sz-cs w:val="24"/>
        </w:rPr>
        <w:t xml:space="preserve">Under-the-radar fee drifts: 20-day fee slope vs historical σ.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Locate Proxy Factor (LPF)</w:t>
      </w:r>
    </w:p>
    <w:p>
      <w:pPr/>
      <w:r>
        <w:rPr>
          <w:rFonts w:ascii="Times" w:hAnsi="Times" w:cs="Times"/>
          <w:sz w:val="24"/>
          <w:sz-cs w:val="24"/>
        </w:rPr>
        <w:t xml:space="preserve">Re-Rate Ratio and B2B loans proxy locate demand.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Days-To-Cover Z (DTC_z)</w:t>
      </w:r>
    </w:p>
    <w:p>
      <w:pPr/>
      <w:r>
        <w:rPr>
          <w:rFonts w:ascii="Times" w:hAnsi="Times" w:cs="Times"/>
          <w:sz w:val="24"/>
          <w:sz-cs w:val="24"/>
        </w:rPr>
        <w:t xml:space="preserve">Short-covering pressure: short interest ÷ ADV, z-scored.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Borrow-CDS Basis</w:t>
      </w:r>
    </w:p>
    <w:p>
      <w:pPr/>
      <w:r>
        <w:rPr>
          <w:rFonts w:ascii="Times" w:hAnsi="Times" w:cs="Times"/>
          <w:sz w:val="24"/>
          <w:sz-cs w:val="24"/>
        </w:rPr>
        <w:t xml:space="preserve">Credit-equity dislocation using EquiLend fee and ICE OAS (FRED).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Options Skew Divergence</w:t>
      </w:r>
    </w:p>
    <w:p>
      <w:pPr/>
      <w:r>
        <w:rPr>
          <w:rFonts w:ascii="Times" w:hAnsi="Times" w:cs="Times"/>
          <w:sz w:val="24"/>
          <w:sz-cs w:val="24"/>
        </w:rPr>
        <w:t xml:space="preserve">Fee/Util vs CBOE SKEW mis-pricing.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ETF Flow Pressure</w:t>
      </w:r>
    </w:p>
    <w:p>
      <w:pPr/>
      <w:r>
        <w:rPr>
          <w:rFonts w:ascii="Times" w:hAnsi="Times" w:cs="Times"/>
          <w:sz w:val="24"/>
          <w:sz-cs w:val="24"/>
        </w:rPr>
        <w:t xml:space="preserve">Arbitrage strain from ΔSharesOut (TradingView) and lendable supply.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Macro Liquidity Stress</w:t>
      </w:r>
    </w:p>
    <w:p>
      <w:pPr/>
      <w:r>
        <w:rPr>
          <w:rFonts w:ascii="Times" w:hAnsi="Times" w:cs="Times"/>
          <w:sz w:val="24"/>
          <w:sz-cs w:val="24"/>
        </w:rPr>
        <w:t xml:space="preserve">Systemic overlay using STLFSI2 (FRED).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ESG Constraint Gauge</w:t>
      </w:r>
    </w:p>
    <w:p>
      <w:pPr/>
      <w:r>
        <w:rPr>
          <w:rFonts w:ascii="Times" w:hAnsi="Times" w:cs="Times"/>
          <w:sz w:val="24"/>
          <w:sz-cs w:val="24"/>
        </w:rPr>
        <w:t xml:space="preserve">Supply limits from ESG ratings / lender restrictions.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Crowd Buzz Pulse</w:t>
      </w:r>
    </w:p>
    <w:p>
      <w:pPr/>
      <w:r>
        <w:rPr>
          <w:rFonts w:ascii="Times" w:hAnsi="Times" w:cs="Times"/>
          <w:sz w:val="24"/>
          <w:sz-cs w:val="24"/>
        </w:rPr>
        <w:t xml:space="preserve">Retail-driven activity via Reddit/X mention velocity.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Insider Lock-up Monitor</w:t>
      </w:r>
    </w:p>
    <w:p>
      <w:pPr/>
      <w:r>
        <w:rPr>
          <w:rFonts w:ascii="Times" w:hAnsi="Times" w:cs="Times"/>
          <w:sz w:val="24"/>
          <w:sz-cs w:val="24"/>
        </w:rPr>
        <w:t xml:space="preserve">Float expansion risk from upcoming unlocks and Form-4s.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TRS / Swap Migration</w:t>
      </w:r>
    </w:p>
    <w:p>
      <w:pPr/>
      <w:r>
        <w:rPr>
          <w:rFonts w:ascii="Times" w:hAnsi="Times" w:cs="Times"/>
          <w:sz w:val="24"/>
          <w:sz-cs w:val="24"/>
        </w:rPr>
        <w:t xml:space="preserve">Hidden synthetic shorts via EU SFTR swap notionals.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Short-Sale Tick Violation</w:t>
      </w:r>
    </w:p>
    <w:p>
      <w:pPr/>
      <w:r>
        <w:rPr>
          <w:rFonts w:ascii="Times" w:hAnsi="Times" w:cs="Times"/>
          <w:sz w:val="24"/>
          <w:sz-cs w:val="24"/>
        </w:rPr>
        <w:t xml:space="preserve">Forced buy-in likelihood from FINRA short-sale volume ratio.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ThematicAndSectorDeepDives</w:t>
      </w:r>
    </w:p>
    <w:p>
      <w:pPr/>
      <w:r>
        <w:rPr>
          <w:rFonts w:ascii="Times" w:hAnsi="Times" w:cs="Times"/>
          <w:sz w:val="24"/>
          <w:sz-cs w:val="24"/>
        </w:rPr>
        <w:t xml:space="preserve">Crowded thematic/sector trades narrative inflection analysis.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CorporateAndMarketEventsAnalysis</w:t>
      </w:r>
    </w:p>
    <w:p>
      <w:pPr/>
      <w:r>
        <w:rPr>
          <w:rFonts w:ascii="Times" w:hAnsi="Times" w:cs="Times"/>
          <w:sz w:val="24"/>
          <w:sz-cs w:val="24"/>
        </w:rPr>
        <w:t xml:space="preserve">Borrow metrics around corporate/macro events.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Enhanced Short Squeeze Prediction (SSR v4)</w:t>
      </w:r>
    </w:p>
    <w:p>
      <w:pPr/>
      <w:r>
        <w:rPr>
          <w:rFonts w:ascii="Times" w:hAnsi="Times" w:cs="Times"/>
          <w:sz w:val="24"/>
          <w:sz-cs w:val="24"/>
        </w:rPr>
        <w:t xml:space="preserve">SSR v3 plus Reddit buzz z-score &amp; uptick violation flag.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Cost Of Borrow Sentiment Indicator</w:t>
      </w:r>
    </w:p>
    <w:p>
      <w:pPr/>
      <w:r>
        <w:rPr>
          <w:rFonts w:ascii="Times" w:hAnsi="Times" w:cs="Times"/>
          <w:sz w:val="24"/>
          <w:sz-cs w:val="24"/>
        </w:rPr>
        <w:t xml:space="preserve">Borrow-fee term-structure vs FRED OAS curve.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p>
      <w:pPr/>
      <w:r>
        <w:rPr>
          <w:rFonts w:ascii="Times" w:hAnsi="Times" w:cs="Times"/>
          <w:sz w:val="24"/>
          <w:sz-cs w:val="24"/>
        </w:rPr>
        <w:t xml:space="preserve">Cross-Asset Sentiment Aggregation</w:t>
      </w:r>
    </w:p>
    <w:p>
      <w:pPr/>
      <w:r>
        <w:rPr>
          <w:rFonts w:ascii="Times" w:hAnsi="Times" w:cs="Times"/>
          <w:sz w:val="24"/>
          <w:sz-cs w:val="24"/>
        </w:rPr>
        <w:t xml:space="preserve">Holistic sentiment: Fee, OAS, SKEW, FINRA volumes.</w:t>
      </w:r>
    </w:p>
    <w:p>
      <w:pPr/>
      <w:r>
        <w:rPr>
          <w:rFonts w:ascii="Times" w:hAnsi="Times" w:cs="Times"/>
          <w:sz w:val="24"/>
          <w:sz-cs w:val="24"/>
        </w:rPr>
        <w:t xml:space="preserve">See notebook for code implementation.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Harper</dc:creator>
</cp:coreProperties>
</file>

<file path=docProps/meta.xml><?xml version="1.0" encoding="utf-8"?>
<meta xmlns="http://schemas.apple.com/cocoa/2006/metadata">
  <generator>CocoaOOXMLWriter/2566</generator>
</meta>
</file>