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48DD2"/>
          <w:sz w:val="40"/>
        </w:rPr>
        <w:t>EquiLend D&amp;A Daily Digest</w:t>
      </w:r>
    </w:p>
    <w:p>
      <w:pPr>
        <w:jc w:val="center"/>
      </w:pPr>
      <w:r>
        <w:rPr>
          <w:color w:val="F57600"/>
          <w:sz w:val="24"/>
        </w:rPr>
        <w:t>June 29, 2025</w:t>
      </w:r>
    </w:p>
    <w:p>
      <w:r>
        <w:rPr>
          <w:color w:val="048DD2"/>
        </w:rPr>
        <w:t>📈 MARKET NOTES:</w:t>
      </w:r>
    </w:p>
    <w:p>
      <w:r>
        <w:rPr>
          <w:color w:val="1DB71A"/>
        </w:rPr>
        <w:t>Fee All: 45.83bps ↑2.90%</w:t>
      </w:r>
    </w:p>
    <w:p>
      <w:r>
        <w:rPr>
          <w:color w:val="FF0000"/>
        </w:rPr>
        <w:t>Utilization: 7.23% ↓0.99%</w:t>
      </w:r>
    </w:p>
    <w:p>
      <w:r>
        <w:rPr>
          <w:color w:val="048DD2"/>
        </w:rPr>
        <w:t>🔥 DATA HIGHLIGHTS</w:t>
      </w:r>
    </w:p>
    <w:p>
      <w:pPr>
        <w:pStyle w:val="ListBullet"/>
      </w:pPr>
      <w:r>
        <w:rPr>
          <w:b/>
          <w:color w:val="6901D0"/>
        </w:rPr>
        <w:t xml:space="preserve">Data: </w:t>
      </w:r>
      <w:r>
        <w:t>United Energy Group (467 HK) on-loan shares +264.6% MoM</w:t>
      </w:r>
    </w:p>
    <w:p>
      <w:pPr>
        <w:pStyle w:val="ListBullet"/>
      </w:pPr>
      <w:r>
        <w:rPr>
          <w:b/>
          <w:color w:val="6901D0"/>
        </w:rPr>
        <w:t xml:space="preserve">Data: </w:t>
      </w:r>
      <w:r>
        <w:t>UPS on-loan qty +171% MoM, +24% WoW to 2.6m shares</w:t>
      </w:r>
    </w:p>
    <w:p>
      <w:pPr>
        <w:pStyle w:val="ListBullet"/>
      </w:pPr>
      <w:r>
        <w:rPr>
          <w:b/>
          <w:color w:val="6901D0"/>
        </w:rPr>
        <w:t xml:space="preserve">Data: </w:t>
      </w:r>
      <w:r>
        <w:t>C3.ai utilization 41.5% vs software peer avg 2.7%</w:t>
      </w:r>
    </w:p>
    <w:p>
      <w:r>
        <w:rPr>
          <w:color w:val="048DD2"/>
        </w:rPr>
        <w:t>📊 TODAY'S HARD-TO-BORROW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048DD2"/>
              </w:rPr>
              <w:t>Ticker</w:t>
            </w:r>
          </w:p>
        </w:tc>
        <w:tc>
          <w:tcPr>
            <w:tcW w:type="dxa" w:w="1728"/>
          </w:tcPr>
          <w:p>
            <w:r>
              <w:rPr>
                <w:b/>
                <w:color w:val="048DD2"/>
              </w:rPr>
              <w:t>Security</w:t>
            </w:r>
          </w:p>
        </w:tc>
        <w:tc>
          <w:tcPr>
            <w:tcW w:type="dxa" w:w="1728"/>
          </w:tcPr>
          <w:p>
            <w:r>
              <w:rPr>
                <w:b/>
                <w:color w:val="048DD2"/>
              </w:rPr>
              <w:t>Industry</w:t>
            </w:r>
          </w:p>
        </w:tc>
        <w:tc>
          <w:tcPr>
            <w:tcW w:type="dxa" w:w="1728"/>
          </w:tcPr>
          <w:p>
            <w:r>
              <w:rPr>
                <w:b/>
                <w:color w:val="048DD2"/>
              </w:rPr>
              <w:t>Fee Range</w:t>
            </w:r>
          </w:p>
        </w:tc>
        <w:tc>
          <w:tcPr>
            <w:tcW w:type="dxa" w:w="1728"/>
          </w:tcPr>
          <w:p>
            <w:r>
              <w:rPr>
                <w:b/>
                <w:color w:val="048DD2"/>
              </w:rPr>
              <w:t>WoW Δ (bps)</w:t>
            </w:r>
          </w:p>
        </w:tc>
      </w:tr>
      <w:tr>
        <w:tc>
          <w:tcPr>
            <w:tcW w:type="dxa" w:w="1728"/>
          </w:tcPr>
          <w:p>
            <w:r>
              <w:t>UPS</w:t>
            </w:r>
          </w:p>
        </w:tc>
        <w:tc>
          <w:tcPr>
            <w:tcW w:type="dxa" w:w="1728"/>
          </w:tcPr>
          <w:p>
            <w:r>
              <w:t>United Parcel Service</w:t>
            </w:r>
          </w:p>
        </w:tc>
        <w:tc>
          <w:tcPr>
            <w:tcW w:type="dxa" w:w="1728"/>
          </w:tcPr>
          <w:p>
            <w:r>
              <w:t>Transport</w:t>
            </w:r>
          </w:p>
        </w:tc>
        <w:tc>
          <w:tcPr>
            <w:tcW w:type="dxa" w:w="1728"/>
          </w:tcPr>
          <w:p>
            <w:r>
              <w:t>120-160</w:t>
            </w:r>
          </w:p>
        </w:tc>
        <w:tc>
          <w:tcPr>
            <w:tcW w:type="dxa" w:w="1728"/>
          </w:tcPr>
          <w:p>
            <w:r>
              <w:t>+25</w:t>
            </w:r>
          </w:p>
        </w:tc>
      </w:tr>
    </w:tbl>
    <w:p>
      <w:r>
        <w:rPr>
          <w:color w:val="048DD2"/>
        </w:rPr>
        <w:t>💡 QUICK TAKEAWAYS</w:t>
      </w:r>
    </w:p>
    <w:p>
      <w:pPr>
        <w:pStyle w:val="ListBullet"/>
      </w:pPr>
      <w:r>
        <w:rPr>
          <w:b/>
          <w:color w:val="6901D0"/>
        </w:rPr>
        <w:t xml:space="preserve">Data: </w:t>
      </w:r>
      <w:r>
        <w:t>Transportation borrow fees signalling trade &amp; consumer concern</w:t>
      </w:r>
    </w:p>
    <w:p>
      <w:pPr>
        <w:pStyle w:val="ListBullet"/>
      </w:pPr>
      <w:r>
        <w:rPr>
          <w:b/>
          <w:color w:val="6901D0"/>
        </w:rPr>
        <w:t xml:space="preserve">Data: </w:t>
      </w:r>
      <w:r>
        <w:t>Energy sector borrow cost elevated amid Middle East tensions</w:t>
      </w:r>
    </w:p>
    <w:p>
      <w:pPr>
        <w:pStyle w:val="ListBullet"/>
      </w:pPr>
      <w:r>
        <w:rPr>
          <w:b/>
          <w:color w:val="6901D0"/>
        </w:rPr>
        <w:t xml:space="preserve">Data: </w:t>
      </w:r>
      <w:r>
        <w:t>Market-wide utilization down despite rising average fees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