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2.9.0 -->
  <w:body>
    <w:p>
      <w:pPr>
        <w:spacing w:after="240"/>
      </w:pPr>
      <w:r>
        <w:t>The Global Economy at a Crossroads: Navigation Through Complexity</w:t>
      </w:r>
    </w:p>
    <w:p>
      <w:pPr>
        <w:spacing w:before="240" w:after="240"/>
      </w:pPr>
      <w:r>
        <w:t>December 2024</w:t>
      </w:r>
    </w:p>
    <w:p>
      <w:pPr>
        <w:spacing w:before="240" w:after="240"/>
      </w:pPr>
      <w:r>
        <w:t>Executive Summary</w:t>
      </w:r>
    </w:p>
    <w:p>
      <w:pPr>
        <w:spacing w:before="240" w:after="240"/>
      </w:pPr>
      <w:r>
        <w:t>As we approach 2025, the global economic landscape presents an intricate web of challenges and opportunities that defy simple characterization. Our comprehensive analysis reveals a world where traditional economic relationships are being tested by unprecedented policy experiments, shifting political dynamics, and persistent inflationary pressures. Most notably, we're witnessing significant economic divergence across different segments of society and regions, creating distinct challenges for policymakers and investors alike.</w:t>
      </w:r>
    </w:p>
    <w:p>
      <w:pPr>
        <w:spacing w:before="240" w:after="240"/>
      </w:pPr>
      <w:r>
        <w:t>[INSERT ECONOMIC DIVERGENCE CHART]</w:t>
      </w:r>
    </w:p>
    <w:p>
      <w:pPr>
        <w:spacing w:before="240" w:after="240"/>
      </w:pPr>
      <w:r>
        <w:t>The Global Economic Landscape</w:t>
      </w:r>
    </w:p>
    <w:p>
      <w:pPr>
        <w:spacing w:before="240" w:after="240"/>
      </w:pPr>
      <w:r>
        <w:t>The current economic environment is characterized by remarkable regional disparities and resilience in unexpected places. While the United States demonstrates continued strength, with Q4 GDP estimates moderating from 3% to 1.8% according to the NY Fed Nowcast, the underlying dynamics reveal increasing complexity.</w:t>
      </w:r>
    </w:p>
    <w:p>
      <w:pPr>
        <w:spacing w:before="240" w:after="240"/>
      </w:pPr>
      <w:r>
        <w:t>Labor Markets: Structural Transformation</w:t>
      </w:r>
    </w:p>
    <w:p>
      <w:pPr>
        <w:spacing w:before="240" w:after="240"/>
      </w:pPr>
      <w:r>
        <w:t>The U.S. labor market continues to show remarkable resilience while undergoing structural transformation. The unemployment rate has stabilized around 4%, masking significant shifts in employment patterns.</w:t>
      </w:r>
    </w:p>
    <w:p>
      <w:pPr>
        <w:spacing w:before="240" w:after="240"/>
      </w:pPr>
      <w:r>
        <w:t>[INSERT UNEMPLOYMENT RATE CHART]</w:t>
      </w:r>
    </w:p>
    <w:p>
      <w:pPr>
        <w:spacing w:before="240" w:after="240"/>
      </w:pPr>
      <w:r>
        <w:t>Job openings have steadily declined from their post-pandemic peak of over 12 million to approximately 8 million, suggesting a better balance between labor supply and demand. However, this headline figure obscures important structural changes in employment composition.</w:t>
      </w:r>
    </w:p>
    <w:p>
      <w:pPr>
        <w:spacing w:before="240" w:after="240"/>
      </w:pPr>
      <w:r>
        <w:t>[INSERT JOB OPENINGS CHART]</w:t>
      </w:r>
    </w:p>
    <w:p>
      <w:pPr>
        <w:spacing w:before="240" w:after="240"/>
      </w:pPr>
      <w:r>
        <w:t>A significant shift appears like employment itself. Part-time employment has reached new highs around 28 million workers, while full-time employment has plateaued. This trend, combined with declining average weekly hours worked, suggests businesses are adopting more flexible staffing strategies in response to economic uncertainty.</w:t>
      </w:r>
    </w:p>
    <w:p>
      <w:pPr>
        <w:spacing w:before="240" w:after="240"/>
      </w:pPr>
      <w:r>
        <w:t>[INSERT EMPLOYMENT COMPOSITION CHART]</w:t>
      </w:r>
    </w:p>
    <w:p>
      <w:pPr>
        <w:spacing w:before="240" w:after="240"/>
      </w:pPr>
      <w:r>
        <w:t>Inflation: Persistent Challenges and Policy Responses</w:t>
      </w:r>
    </w:p>
    <w:p>
      <w:pPr>
        <w:spacing w:before="240" w:after="240"/>
      </w:pPr>
      <w:r>
        <w:t>The inflation picture presents one of the most complex challenges for policymakers and market participants. Despite earlier expectations of transitory price pressures, services inflation remains elevated, driven by sticky wage growth and robust labor market conditions. This persistence has created a complex environment where traditional policy tools face new challenges in achieving price stability without triggering significant economic disruption.</w:t>
      </w:r>
    </w:p>
    <w:p>
      <w:pPr>
        <w:spacing w:before="240" w:after="240"/>
      </w:pPr>
      <w:r>
        <w:t>[INSERT INFLATION COMPONENTS CHART]</w:t>
      </w:r>
    </w:p>
    <w:p>
      <w:pPr>
        <w:spacing w:before="240" w:after="240"/>
      </w:pPr>
      <w:r>
        <w:t>Financial Stability and Credit Markets</w:t>
      </w:r>
    </w:p>
    <w:p>
      <w:pPr>
        <w:spacing w:before="240" w:after="240"/>
      </w:pPr>
      <w:r>
        <w:t>Credit markets are showing early warning signs that warrant attention. The credit card delinquency rate among the top 100 banks has begun to rise, approaching 3%, though still below historical crisis levels. This uptick in delinquencies, combined with ongoing quantitative tightening and higher interest rates, suggests increasing financial pressure on certain household segments.</w:t>
      </w:r>
    </w:p>
    <w:p>
      <w:pPr>
        <w:spacing w:before="240" w:after="240"/>
      </w:pPr>
      <w:r>
        <w:t>[INSERT DELINQUENCY RATE CHART]</w:t>
      </w:r>
    </w:p>
    <w:p>
      <w:pPr>
        <w:spacing w:before="240" w:after="240"/>
      </w:pPr>
      <w:r>
        <w:t>Investment Implications</w:t>
      </w:r>
    </w:p>
    <w:p>
      <w:pPr>
        <w:spacing w:before="240" w:after="240"/>
      </w:pPr>
      <w:r>
        <w:t>The current market environment, characterized by persistent inflation and potential policy surprises, demands a particularly nuanced approach to investment strategy. European equity valuations present compelling opportunities, particularly given extreme discounts to U.S. markets, but investors must carefully weigh these against potential risks from trade policy shifts and political uncertainty.</w:t>
      </w:r>
    </w:p>
    <w:p>
      <w:pPr>
        <w:spacing w:before="240" w:after="240"/>
      </w:pPr>
      <w:r>
        <w:t>Fixed investment trends reflect this cautious sentiment, with moderated year-over-year changes in nonresidential fixed investment indicating businesses may be postponing major capital expenditures.</w:t>
      </w:r>
    </w:p>
    <w:p>
      <w:pPr>
        <w:spacing w:before="240" w:after="240"/>
      </w:pPr>
      <w:r>
        <w:t>[INSERT FIXED INVESTMENT CHART]</w:t>
      </w:r>
    </w:p>
    <w:p>
      <w:pPr>
        <w:spacing w:before="240" w:after="240"/>
      </w:pPr>
      <w:r>
        <w:t>Looking Ahead: Key Themes for 2025</w:t>
      </w:r>
    </w:p>
    <w:p>
      <w:pPr>
        <w:numPr>
          <w:ilvl w:val="0"/>
          <w:numId w:val="1"/>
        </w:numPr>
        <w:spacing w:before="240"/>
        <w:ind w:left="720" w:hanging="280"/>
        <w:jc w:val="left"/>
      </w:pPr>
      <w:r>
        <w:t>Economic Divergence: Growing disparities across regions and sectors require targeted policy responses and create specific investment opportunities.</w:t>
      </w:r>
    </w:p>
    <w:p>
      <w:pPr>
        <w:numPr>
          <w:ilvl w:val="0"/>
          <w:numId w:val="1"/>
        </w:numPr>
        <w:ind w:left="720" w:hanging="280"/>
        <w:jc w:val="left"/>
      </w:pPr>
      <w:r>
        <w:t>Inflation's Evolution: While moderating, structural factors may keep inflation above pre-pandemic levels, particularly in services.</w:t>
      </w:r>
    </w:p>
    <w:p>
      <w:pPr>
        <w:numPr>
          <w:ilvl w:val="0"/>
          <w:numId w:val="1"/>
        </w:numPr>
        <w:ind w:left="720" w:hanging="280"/>
        <w:jc w:val="left"/>
      </w:pPr>
      <w:r>
        <w:t>Labor Market Transformation: The shift toward more flexible employment arrangements appears structural rather than cyclical.</w:t>
      </w:r>
    </w:p>
    <w:p>
      <w:pPr>
        <w:numPr>
          <w:ilvl w:val="0"/>
          <w:numId w:val="1"/>
        </w:numPr>
        <w:ind w:left="720" w:hanging="280"/>
        <w:jc w:val="left"/>
      </w:pPr>
      <w:r>
        <w:t>Financial Stability Risks: Rising consumer stress levels warrant careful monitoring, especially in the context of tight monetary policy.</w:t>
      </w:r>
    </w:p>
    <w:p>
      <w:pPr>
        <w:numPr>
          <w:ilvl w:val="0"/>
          <w:numId w:val="1"/>
        </w:numPr>
        <w:spacing w:after="240"/>
        <w:ind w:left="720" w:hanging="280"/>
        <w:jc w:val="left"/>
      </w:pPr>
      <w:r>
        <w:t>Investment Opportunities: Regional disparities and market dislocations create selective opportunities, particularly in European equities and specific real estate markets.</w:t>
      </w:r>
    </w:p>
    <w:p>
      <w:pPr>
        <w:spacing w:before="240" w:after="240"/>
      </w:pPr>
      <w:r>
        <w:t>Conclusion</w:t>
      </w:r>
    </w:p>
    <w:p>
      <w:pPr>
        <w:spacing w:before="240" w:after="240"/>
      </w:pPr>
      <w:r>
        <w:t>As we navigate through 2025, the global economy presents a complex set of challenges centered around persistent inflation, divergent monetary policies, and elevated political uncertainty. The growing divergence in economic outcomes across regions and sectors creates an environment that requires careful navigation.</w:t>
      </w:r>
    </w:p>
    <w:p>
      <w:pPr>
        <w:spacing w:before="240" w:after="240"/>
      </w:pPr>
      <w:r>
        <w:t>Success will depend on the ability to identify and capitalize on specific opportunities while maintaining awareness of the broader risk environment. The path forward requires careful consideration of both macro trends and specific market opportunities, with particular attention to the significant political and policy risks that could impact market dynamics.</w:t>
      </w:r>
    </w:p>
    <w:p>
      <w:pPr>
        <w:spacing w:before="240" w:after="240"/>
      </w:pPr>
    </w:p>
    <w:sectPr>
      <w:pgMar w:top="1440" w:right="1440" w:bottom="1440" w:left="1440"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