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color w:val="3c78d8"/>
        </w:rPr>
      </w:pPr>
      <w:r w:rsidDel="00000000" w:rsidR="00000000" w:rsidRPr="00000000">
        <w:rPr>
          <w:b w:val="1"/>
          <w:color w:val="3c78d8"/>
          <w:rtl w:val="0"/>
        </w:rPr>
        <w:t xml:space="preserve">EquiLend Data &amp; Analytics Market Flash: Cracker Barrel Old Country Store, Inc. (CBRL) Short Interest Surges Following Strategic Transformation Plan, Dividend Cut, and Logo Controversy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color w:val="3c78d8"/>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color w:val="4a86e8"/>
        </w:rPr>
      </w:pPr>
      <w:r w:rsidDel="00000000" w:rsidR="00000000" w:rsidRPr="00000000">
        <w:rPr>
          <w:b w:val="1"/>
          <w:color w:val="4a86e8"/>
          <w:rtl w:val="0"/>
        </w:rPr>
        <w:t xml:space="preserve">Market Context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Cracker Barrel (CBRL) shares have experienced significant downward pressure following the announcement of a new strategic transformation plan and a substantial cut to its quarterly dividend in May 2025. The company outlined plans for brand revitalization and store remodels but also provided weak guidance for the upcoming fiscal year, citing persistent traffic declines. In a move to fund these initiatives, Cracker Barrel reduced its quarterly dividend by over 80% from $1.30 to $0.25 per share.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Adding to the company's challenges, Cracker Barrel faced a swift and significant public backlash in August 2025 after unveiling a new, modernized logo. The simplified design was met with widespread criticism from customers, who viewed the change as a departure from the brand's traditional, nostalgic image. The negative sentiment was amplified on social media, and the company's stock price experienced further declines. In response to the public outcry, Cracker Barrel announced it would be reverting to its original "Old Timer" logo.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combination of a challenging consumer environment, the dividend reduction, and the public relations misstep with the logo change has appeared to undermine investor confidence, with the stock price falling sharply since the May announcement.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color w:val="4a86e8"/>
        </w:rPr>
      </w:pPr>
      <w:r w:rsidDel="00000000" w:rsidR="00000000" w:rsidRPr="00000000">
        <w:rPr>
          <w:b w:val="1"/>
          <w:color w:val="4a86e8"/>
          <w:rtl w:val="0"/>
        </w:rPr>
        <w:t xml:space="preserve">EquiLend Data &amp; Analytics Signals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EquiLend's securities lending data indicates a notable increase in bearish sentiment, with key short interest metrics rising significantly in the wake of the company's announcements.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Borrow Quantity:</w:t>
      </w:r>
      <w:r w:rsidDel="00000000" w:rsidR="00000000" w:rsidRPr="00000000">
        <w:rPr>
          <w:rtl w:val="0"/>
        </w:rPr>
        <w:t xml:space="preserve"> The number of CBRL shares on loan, a proxy for short interest, has increased by over 45% since early May, rising from approximately 3.2 million to over 4.6 million shares. This suggests a growing number of market participants are establishing positions that would benefit from a further decline in the stock price.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Borrow Demand:</w:t>
      </w:r>
      <w:r w:rsidDel="00000000" w:rsidR="00000000" w:rsidRPr="00000000">
        <w:rPr>
          <w:rtl w:val="0"/>
        </w:rPr>
        <w:t xml:space="preserve"> Utilization, which measures the percentage of the lendable supply that is on loan, has climbed from under 30% to over 60% during the same period. This sharp increase reflects a tightening of the lending market and heightened demand to borrow the stock for shorting purposes.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Cost to Borrow:</w:t>
      </w:r>
      <w:r w:rsidDel="00000000" w:rsidR="00000000" w:rsidRPr="00000000">
        <w:rPr>
          <w:rtl w:val="0"/>
        </w:rPr>
        <w:t xml:space="preserve"> The average fee to borrow CBRL shares has also trended higher, further indicating increased demand from short sellers.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color w:val="4a86e8"/>
        </w:rPr>
      </w:pPr>
      <w:r w:rsidDel="00000000" w:rsidR="00000000" w:rsidRPr="00000000">
        <w:rPr>
          <w:b w:val="1"/>
          <w:color w:val="4a86e8"/>
          <w:rtl w:val="0"/>
        </w:rPr>
        <w:t xml:space="preserve">Analysis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sustained rise in borrow quantity and utilization suggests that the negative market reaction to Cracker Barrel's strategic plan and dividend cut has been accompanied by a significant build-up in short positions. The recent controversy surrounding the company's logo change has likely contributed to the negative sentiment, further fueling bearish bets against the company. EquiLend's data provides a clear signal of the growing bearish sentiment surrounding the company's outlook.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