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Title Page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From Plumbing to Price: A Comprehensive Primer on Monetary Markets and Their Application to Securities Finance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Author:</w:t>
      </w:r>
      <w:r w:rsidDel="00000000" w:rsidR="00000000" w:rsidRPr="00000000">
        <w:rPr>
          <w:rtl w:val="0"/>
        </w:rPr>
        <w:t xml:space="preserve"> Bob Sheehan, CFA, CMT, Vice President, Market Strategy &amp; Research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Team:</w:t>
      </w:r>
      <w:r w:rsidDel="00000000" w:rsidR="00000000" w:rsidRPr="00000000">
        <w:rPr>
          <w:rtl w:val="0"/>
        </w:rPr>
        <w:t xml:space="preserve"> Data &amp; Analytics, EquiLend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Date:</w:t>
      </w:r>
      <w:r w:rsidDel="00000000" w:rsidR="00000000" w:rsidRPr="00000000">
        <w:rPr>
          <w:rtl w:val="0"/>
        </w:rPr>
        <w:t xml:space="preserve"> July 31, 2025</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Table of Contents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 I: The Architecture of Modern Money Markets</w:t>
      </w:r>
    </w:p>
    <w:p w:rsidR="00000000" w:rsidDel="00000000" w:rsidP="00000000" w:rsidRDefault="00000000" w:rsidRPr="00000000" w14:paraId="0000000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 Deconstructing the Plumbing: The System's Core Components and Participants</w:t>
      </w:r>
    </w:p>
    <w:p w:rsidR="00000000" w:rsidDel="00000000" w:rsidP="00000000" w:rsidRDefault="00000000" w:rsidRPr="00000000" w14:paraId="0000000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2: The Universe of Short-Term Interest Rates (STIR)</w:t>
      </w:r>
    </w:p>
    <w:p w:rsidR="00000000" w:rsidDel="00000000" w:rsidP="00000000" w:rsidRDefault="00000000" w:rsidRPr="00000000" w14:paraId="0000000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3: The Twin Engines: Differentiating Repo and Securities Lending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 II: The Central Bank's Dominant Role</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4: The Fed’s Modern Operating Framework: The Ample Reserves System</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5: Decoding the Federal Reserve's Balance Sheet</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6: The Dynamics of Quantitative Easing (QE) and Tightening (QT)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 III: A Framework for Signal Extraction</w:t>
      </w:r>
    </w:p>
    <w:p w:rsidR="00000000" w:rsidDel="00000000" w:rsidP="00000000" w:rsidRDefault="00000000" w:rsidRPr="00000000" w14:paraId="0000001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7: Monitoring Systemic Liquidity: The Interplay of Reserves, RRP, and the TGA</w:t>
      </w:r>
    </w:p>
    <w:p w:rsidR="00000000" w:rsidDel="00000000" w:rsidP="00000000" w:rsidRDefault="00000000" w:rsidRPr="00000000" w14:paraId="0000001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8: Interpreting Rate Spreads as Market Barometers</w:t>
      </w:r>
    </w:p>
    <w:p w:rsidR="00000000" w:rsidDel="00000000" w:rsidP="00000000" w:rsidRDefault="00000000" w:rsidRPr="00000000" w14:paraId="0000001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9: The Critical Role of Collateral: Velocity, Quality, and Transformation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 IV: Connecting Macro Plumbing to Micro Securities Finance</w:t>
      </w:r>
    </w:p>
    <w:p w:rsidR="00000000" w:rsidDel="00000000" w:rsidP="00000000" w:rsidRDefault="00000000" w:rsidRPr="00000000" w14:paraId="0000001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10: The Transmission Mechanism: From Repo Rates to Lending Fees</w:t>
      </w:r>
    </w:p>
    <w:p w:rsidR="00000000" w:rsidDel="00000000" w:rsidP="00000000" w:rsidRDefault="00000000" w:rsidRPr="00000000" w14:paraId="0000001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11: Developing Actionable Signals for Securities Finance</w:t>
      </w:r>
    </w:p>
    <w:p w:rsidR="00000000" w:rsidDel="00000000" w:rsidP="00000000" w:rsidRDefault="00000000" w:rsidRPr="00000000" w14:paraId="00000017">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12: A Quantitative Toolkit for Implementation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 V: The Framework in Action &amp; Future Outlook</w:t>
      </w:r>
    </w:p>
    <w:p w:rsidR="00000000" w:rsidDel="00000000" w:rsidP="00000000" w:rsidRDefault="00000000" w:rsidRPr="00000000" w14:paraId="0000001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13: Case Study: The September 2019 Repo Spike</w:t>
      </w:r>
    </w:p>
    <w:p w:rsidR="00000000" w:rsidDel="00000000" w:rsidP="00000000" w:rsidRDefault="00000000" w:rsidRPr="00000000" w14:paraId="0000001A">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14: Case Study: The March 2020 "Dash for Cash"</w:t>
      </w:r>
    </w:p>
    <w:p w:rsidR="00000000" w:rsidDel="00000000" w:rsidP="00000000" w:rsidRDefault="00000000" w:rsidRPr="00000000" w14:paraId="0000001B">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15: The Horizon: Potential Market Structure Evolutions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 VI: Strategic Application for EquiLend</w:t>
      </w:r>
    </w:p>
    <w:p w:rsidR="00000000" w:rsidDel="00000000" w:rsidP="00000000" w:rsidRDefault="00000000" w:rsidRPr="00000000" w14:paraId="0000001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16: Proposed Research Agenda: Fusing Macro Indicators with Proprietary Data</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Conclusion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Works Cited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Executive Summary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financial system relies on a vast, intricate, and often opaque network of institutions and markets responsible for the daily movement of trillions of dollars in capital. This network, frequently referred to as "financial plumbing," encompasses the essential infrastructure that facilitates payments, clears trades, and manages risk. While often overlooked during periods of market calm, the health of this plumbing is a critical determinant of financial stability. Strains within these core funding markets—manifesting as liquidity shortages, funding rate volatility, or balance sheet constraints—are not isolated technical issues. Instead, they represent powerful, high-frequency macroeconomic signals that propagate through the entire financial ecosystem, directly impacting the pricing and availability of collateral in securities finance markets.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our work at EquiLend, a deep knowledge of this ecosystem, particularly the repo market, is vital, as it is the nexus of funding and securities finance. This report provides a comprehensive primer on the architecture of modern money markets and presents a quantitative framework for incorporating signals from this space into securities finance operations. It moves beyond a simple description of market mechanics to offer a concrete, data-driven methodology for constructing actionable indicators that connect the esoteric signals of monetary plumbing to a quantifiable understanding of risk and opportunity in our markets.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thesis is that stress in the system's core funding markets—particularly the repo market—provides leading indicators for changes in collateral demand, risk appetite, and pricing across the securities finance landscape. By systematically monitoring a curated set of macro-plumbing indicators, constructing composite signals to filter market noise, and analyzing the interconnected balance sheets of key intermediaries, quantitative teams can develop a significant analytical edge.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Part I: The Architecture of Modern Money Markets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section establishes the foundational knowledge required to understand the framework. It defines the environment, the key transaction types, and the main actors, setting the stage for the quantitative analysis that follows.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 Deconstructing the Plumbing: The System's Core Components and Participants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"monetary plumbing" serves as a powerful metaphor for the intricate and often opaque infrastructure that underpins the global financial system. It refers to the institutional elements—the "pipes and valves"—that are fixed in the short run and facilitate the essential flows of credit, capital, and financial risk. This institutional framework connects central banks, dealer banks, money market funds, and other major participants through a series of legal and operational agreements. While this infrastructure operates largely unseen during periods of market calm, its resilience and design become critically important during periods of stress.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monetary plumbing network is composed of several key types of institutions, each playing a distinct and interdependent role:</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Central Banks (The Federal Reserve):</w:t>
      </w:r>
      <w:r w:rsidDel="00000000" w:rsidR="00000000" w:rsidRPr="00000000">
        <w:rPr>
          <w:rtl w:val="0"/>
        </w:rPr>
        <w:t xml:space="preserve"> At the apex of the system is the central bank, which acts as the ultimate source of liquidity and the primary regulator. The Federal Reserve (Fed) manages the nation's money supply, implements monetary policy, and serves as a lender of last resort to ensure the stability of the financial system. Its balance sheet operations are the primary driver of liquidity conditions within the plumbing.</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Dealer Banks:</w:t>
      </w:r>
      <w:r w:rsidDel="00000000" w:rsidR="00000000" w:rsidRPr="00000000">
        <w:rPr>
          <w:rtl w:val="0"/>
        </w:rPr>
        <w:t xml:space="preserve"> These institutions form the central hubs of the network. As primary dealers, they are the main counterparties for the Federal Reserve's open market operations. More broadly, they act as market makers in a vast array of securities, provide prime brokerage services to hedge funds, and serve as the critical intermediaries connecting cash-rich institutions with those in need of funding or leverage. Their balance sheets are the primary conduits through which central bank policy is transmitted to the wider market, and any factor affecting their capacity radiates outward. Monitoring the health and intermediation capacity of the dealer network is therefore a proxy for monitoring the health of the entire plumbing system.</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Money Market Mutual Funds (MMFs):</w:t>
      </w:r>
      <w:r w:rsidDel="00000000" w:rsidR="00000000" w:rsidRPr="00000000">
        <w:rPr>
          <w:rtl w:val="0"/>
        </w:rPr>
        <w:t xml:space="preserve"> MMFs are major providers of cash to the short-term funding markets. They pool investments from individuals and institutions and seek low-risk, short-term, liquid investments. Their primary outlet for this cash is the repurchase agreement (repo) market, where they lend cash to dealers and other institutions against high-quality collateral. As of late 2020, MMFs were the largest single net lenders of cash into the repo market.</w:t>
      </w:r>
    </w:p>
    <w:p w:rsidR="00000000" w:rsidDel="00000000" w:rsidP="00000000" w:rsidRDefault="00000000" w:rsidRPr="00000000" w14:paraId="0000002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Hedge Funds and Leveraged Investors:</w:t>
      </w:r>
      <w:r w:rsidDel="00000000" w:rsidR="00000000" w:rsidRPr="00000000">
        <w:rPr>
          <w:rtl w:val="0"/>
        </w:rPr>
        <w:t xml:space="preserve"> This diverse group represents the primary borrowers of both cash and specific securities. They utilize repo and prime brokerage services provided by dealers to finance their securities positions, gain leverage, and execute various trading strategies, such as short-selling. Their demand for leverage is a key driver of activity within the plumbing.</w:t>
      </w:r>
    </w:p>
    <w:p w:rsidR="00000000" w:rsidDel="00000000" w:rsidP="00000000" w:rsidRDefault="00000000" w:rsidRPr="00000000" w14:paraId="0000002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Financial Market Infrastructures (FMIs):</w:t>
      </w:r>
      <w:r w:rsidDel="00000000" w:rsidR="00000000" w:rsidRPr="00000000">
        <w:rPr>
          <w:rtl w:val="0"/>
        </w:rPr>
        <w:t xml:space="preserve"> These are the critical "pipes," providing the infrastructure for clearing, settling, and recording transactions to increase efficiency and reduce risk. Key FMIs include The Fixed Income Clearing Corporation (FICC), which is the central clearinghouse for the U.S. government securities market, and large Custodian Banks (e.g., BNY Mellon, JPMorgan Chase) that act as tri-party agents in repo and as lending agents in securities lending.</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2: The Universe of Short-Term Interest Rates (STIR)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prices within the monetary plumbing system are expressed through a variety of short-term interest rates (STIR), which reflect the cost of borrowing and lending cash over short time horizons. A granular understanding of the key benchmark rates is essential for extracting meaningful signals.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Unsecured Rates: The Cost of Interbank Credit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Unsecured rates reflect the cost of borrowing cash without posting collateral and are a pure measure of interbank funding costs, embedding a component of counterparty credit risk.</w:t>
      </w:r>
    </w:p>
    <w:p w:rsidR="00000000" w:rsidDel="00000000" w:rsidP="00000000" w:rsidRDefault="00000000" w:rsidRPr="00000000" w14:paraId="0000003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Effective Federal Funds Rate (EFFR):</w:t>
      </w:r>
      <w:r w:rsidDel="00000000" w:rsidR="00000000" w:rsidRPr="00000000">
        <w:rPr>
          <w:rtl w:val="0"/>
        </w:rPr>
        <w:t xml:space="preserve"> This is the primary policy rate targeted by the FOMC. It represents the volume-weighted median rate at which depository institutions lend their reserve balances to each other overnight on an uncollateralized basis. Its level is a key indicator of the stance of monetary policy.</w:t>
      </w:r>
    </w:p>
    <w:p w:rsidR="00000000" w:rsidDel="00000000" w:rsidP="00000000" w:rsidRDefault="00000000" w:rsidRPr="00000000" w14:paraId="0000003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Overnight Bank Funding Rate (OBFR):</w:t>
      </w:r>
      <w:r w:rsidDel="00000000" w:rsidR="00000000" w:rsidRPr="00000000">
        <w:rPr>
          <w:rtl w:val="0"/>
        </w:rPr>
        <w:t xml:space="preserve"> This is a broader measure of wholesale, unsecured overnight bank funding costs. It includes the federal funds transactions from EFFR but also adds certain Eurodollar and domestic deposit transactions. This makes it a more comprehensive gauge of bank funding costs and a benchmark for many securities lending transactions.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Secured Rates: The Cost of Collateralized Funding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 rates reflect the cost of borrowing cash against high-quality collateral, typically U.S. Treasury securities. Because they are collateralized, they are considered nearly risk-free and primarily reflect the supply and demand dynamics for cash and safe assets.</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Secured Overnight Financing Rate (SOFR):</w:t>
      </w:r>
      <w:r w:rsidDel="00000000" w:rsidR="00000000" w:rsidRPr="00000000">
        <w:rPr>
          <w:rtl w:val="0"/>
        </w:rPr>
        <w:t xml:space="preserve"> SOFR is the primary replacement for LIBOR for U.S. dollar derivatives and loans. It is the broadest measure of the cost of borrowing cash overnight collateralized by Treasury securities. Its construction is hierarchical, starting with the Tri-Party General Collateral Rate (TGCR), adding GCF Repo trades to form the Broad General Collateral Rate (BGCR), and finally adding bilateral Treasury repo trades cleared through FICC's DVP service. This comprehensive construction makes SOFR a robust indicator of conditions in the core U.S. Treasury repo market.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Spread: A Barometer of Systemic Risk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spread between secured and unsecured rates is a powerful, real-time barometer of perceived risk in the financial system. In normal conditions, unsecured rates trade at a small, stable premium to secured rates to compensate for credit risk. During periods of financial stress, concerns about counterparty solvency cause a "flight to quality," where lenders shift away from the unsecured market toward the safety of the collateralized repo market. This causes the spread between EFFR/OBFR and SOFR to widen dramatically, providing a direct, quantifiable signal of increasing fear at the heart of the banking system.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Name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Collateral</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EFFR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Unsecured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Overnight loans between depository institutions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Volume-Weighted Median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Fed's primary policy rate target; measure of interbank credit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OBFR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Unsecured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EFFR transactions + Eurodollar transactions + select domestic deposits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Volume-Weighted Median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Broader measure of wholesale bank funding costs; benchmark for sec lending.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SOFR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measure of overnight Treasury repo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Treasury Securities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Volume-Weighted Median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Broadest measure of Treasury financing cost; primary LIBOR replacement.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TGCR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Tri-party general collateral repo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Treasury Securities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Volume-Weighted Median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component of SOFR reflecting the tri-party market segment.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BGCR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TGCR transactions + GCF Repo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Treasury Securities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Volume-Weighted Median</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component of SOFR reflecting a wider segment of cleared repo.</w:t>
            </w:r>
          </w:p>
        </w:tc>
      </w:tr>
    </w:tbl>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3: The Twin Engines: Differentiating Repo and Securities Lending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repurchase agreements (repo) and securities lending are often discussed together as Securities Financing Transactions (SFTs), they are functionally distinct and serve as the twin engines powering leverage and hedging.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Repurchase Agreements (Repo)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repo is the sale of a security combined with an agreement to repurchase it later at a higher price, with the price difference representing interest. It is economically a collateralized loan. The primary purpose of the repo market is the secured borrowing and lending of cash. It is the central hub where institutions with excess cash (like MMFs) invest safely and where institutions needing to finance securities inventories (like dealers) borrow cheaply.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Securities Lending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securities lending transaction is a temporary loan of a security from a lender to a borrower in exchange for collateral and a fee. Unlike the repo market, the primary purpose of securities lending is not cash financing but rather to facilitate specific market activities, most notably short-selling, hedging, or avoiding settlement failures.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Critical Distinction: Cash-Driven vs. Security-Driven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analytical lens for differentiating these two markets is understanding their primary driver.</w:t>
      </w:r>
    </w:p>
    <w:p w:rsidR="00000000" w:rsidDel="00000000" w:rsidP="00000000" w:rsidRDefault="00000000" w:rsidRPr="00000000" w14:paraId="000000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Repo is overwhelmingly a cash-driven market.</w:t>
      </w:r>
      <w:r w:rsidDel="00000000" w:rsidR="00000000" w:rsidRPr="00000000">
        <w:rPr>
          <w:rtl w:val="0"/>
        </w:rPr>
        <w:t xml:space="preserve"> Participants are motivated by the need to invest or borrow cash, with securities serving as generic collateral. The general collateral (GC) repo rate therefore reflects the systemic, market-wide cost of secured funding.</w:t>
      </w:r>
    </w:p>
    <w:p w:rsidR="00000000" w:rsidDel="00000000" w:rsidP="00000000" w:rsidRDefault="00000000" w:rsidRPr="00000000" w14:paraId="000000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Securities lending is primarily a security-driven market.</w:t>
      </w:r>
      <w:r w:rsidDel="00000000" w:rsidR="00000000" w:rsidRPr="00000000">
        <w:rPr>
          <w:rtl w:val="0"/>
        </w:rPr>
        <w:t xml:space="preserve"> The borrower's main objective is to obtain a </w:t>
      </w:r>
      <w:r w:rsidDel="00000000" w:rsidR="00000000" w:rsidRPr="00000000">
        <w:rPr>
          <w:i w:val="1"/>
          <w:rtl w:val="0"/>
        </w:rPr>
        <w:t xml:space="preserve">specific</w:t>
      </w:r>
      <w:r w:rsidDel="00000000" w:rsidR="00000000" w:rsidRPr="00000000">
        <w:rPr>
          <w:rtl w:val="0"/>
        </w:rPr>
        <w:t xml:space="preserve"> security for a </w:t>
      </w:r>
      <w:r w:rsidDel="00000000" w:rsidR="00000000" w:rsidRPr="00000000">
        <w:rPr>
          <w:i w:val="1"/>
          <w:rtl w:val="0"/>
        </w:rPr>
        <w:t xml:space="preserve">specific</w:t>
      </w:r>
      <w:r w:rsidDel="00000000" w:rsidR="00000000" w:rsidRPr="00000000">
        <w:rPr>
          <w:rtl w:val="0"/>
        </w:rPr>
        <w:t xml:space="preserve"> purpose. The lending fee is therefore highly dependent on the demand for that particular security.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distinction is paramount. A security in high demand is considered "on special," and its repo rate will be lower than the GC rate. The difference between the GC rate and the special repo rate is the "specialness spread," which is effectively an implicit borrowing fee determined by the high-frequency repo market. As securities lending is almost always driven by demand for specific securities, the specialness spread in the repo market serves as a direct, market-driven leading indicator for the explicit fees charged in the securities lending market. This creates a powerful, non-obvious relationship that connects the general cost of funding to the specific cost of borrowing an individual security.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Repurchase Agreement (Repo)</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Securities Lending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Motivation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Cash-Driven: Borrowing/lending cash.</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Security-Driven: Borrowing a specific security.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Economic Function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 money market instrument.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Collateral rental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Typical Collateral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Borrower to Lender: High-Quality Liquid Assets (HQLA) like U.S. Treasuries, Agency Debt, Agency MBS.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Borrower to Lender: Cash, other securities, or Letter of Credit.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Pricing Metric</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Rate: An interest rate paid by the cash borrower.</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Lending Fee: A fee paid by the security borrower. Can be negative (a "rebate") if cash collateral is posted.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Signal</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of secured, systemic funding.</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Scarcity/demand for a specific security.</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Part II: The Central Bank's Dominant Role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comprehend modern money markets, one must understand the operational framework of its most influential participant: the Federal Reserve. The Fed's policy tools, having evolved significantly since 2008, now operate under an "ample reserves" regime that shapes all short-term interest rates.</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4: The Fed’s Modern Operating Framework: The Ample Reserves System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2008 crisis, large-scale asset purchases (QE) flooded the banking system with liquidity, making the old "scarce reserves" system obsolete. The Fed transitioned to an "ample reserves" operating framework. In this regime, the supply of reserves is so large that the Fed does not micromanage the quantity; instead, it steers its policy rate by setting a corridor of administered rates that influence incentives to lend and borrow.</w:t>
      </w:r>
    </w:p>
    <w:p w:rsidR="00000000" w:rsidDel="00000000" w:rsidP="00000000" w:rsidRDefault="00000000" w:rsidRPr="00000000" w14:paraId="0000007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Floor of the Corridor:</w:t>
      </w:r>
      <w:r w:rsidDel="00000000" w:rsidR="00000000" w:rsidRPr="00000000">
        <w:rPr>
          <w:rtl w:val="0"/>
        </w:rPr>
        <w:t xml:space="preserve"> The floor is established by two key administered rates.</w:t>
      </w:r>
    </w:p>
    <w:p w:rsidR="00000000" w:rsidDel="00000000" w:rsidP="00000000" w:rsidRDefault="00000000" w:rsidRPr="00000000" w14:paraId="0000007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Interest on Reserve Balances (IORB):</w:t>
      </w:r>
      <w:r w:rsidDel="00000000" w:rsidR="00000000" w:rsidRPr="00000000">
        <w:rPr>
          <w:rtl w:val="0"/>
        </w:rPr>
        <w:t xml:space="preserve"> This is the interest the Fed pays to banks on reserves they hold. A bank has little incentive to lend to another institution at a rate below IORB, creating a powerful floor for the interbank market.</w:t>
      </w:r>
    </w:p>
    <w:p w:rsidR="00000000" w:rsidDel="00000000" w:rsidP="00000000" w:rsidRDefault="00000000" w:rsidRPr="00000000" w14:paraId="0000008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Overnight Reverse Repo (ON RRP) Facility:</w:t>
      </w:r>
      <w:r w:rsidDel="00000000" w:rsidR="00000000" w:rsidRPr="00000000">
        <w:rPr>
          <w:rtl w:val="0"/>
        </w:rPr>
        <w:t xml:space="preserve"> Since non-bank institutions like MMFs cannot earn IORB, the Fed created the ON RRP facility. It allows eligible firms to lend cash to the Fed overnight at a specified rate, acting as a sub-floor for the broader money market.</w:t>
      </w:r>
    </w:p>
    <w:p w:rsidR="00000000" w:rsidDel="00000000" w:rsidP="00000000" w:rsidRDefault="00000000" w:rsidRPr="00000000" w14:paraId="0000008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Ceiling of the Corridor:</w:t>
      </w:r>
      <w:r w:rsidDel="00000000" w:rsidR="00000000" w:rsidRPr="00000000">
        <w:rPr>
          <w:rtl w:val="0"/>
        </w:rPr>
        <w:t xml:space="preserve"> The ceiling is formed by facilities that provide liquidity to prevent rates from spiking.</w:t>
      </w:r>
    </w:p>
    <w:p w:rsidR="00000000" w:rsidDel="00000000" w:rsidP="00000000" w:rsidRDefault="00000000" w:rsidRPr="00000000" w14:paraId="0000008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Standing Repo Facility (SRF):</w:t>
      </w:r>
      <w:r w:rsidDel="00000000" w:rsidR="00000000" w:rsidRPr="00000000">
        <w:rPr>
          <w:rtl w:val="0"/>
        </w:rPr>
        <w:t xml:space="preserve"> This facility serves as a critical backstop, allowing primary dealers to borrow cash from the Fed against Treasury collateral at a fixed rate. It effectively caps repo rates and prevents extreme volatility.</w:t>
      </w:r>
    </w:p>
    <w:p w:rsidR="00000000" w:rsidDel="00000000" w:rsidP="00000000" w:rsidRDefault="00000000" w:rsidRPr="00000000" w14:paraId="0000008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Discount Window:</w:t>
      </w:r>
      <w:r w:rsidDel="00000000" w:rsidR="00000000" w:rsidRPr="00000000">
        <w:rPr>
          <w:rtl w:val="0"/>
        </w:rPr>
        <w:t xml:space="preserve"> The traditional lender-of-last-resort facility for depository institutions.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daily volume of the ON RRP facility has become a powerful, high-frequency measure of the amount of non-bank cash that cannot find a private market investment, making it a direct indicator of the supply-demand balance for cash and collateral. A persistently high ON RRP balance signals that the financial plumbing is "clogged," with diminished capacity for private intermediation.</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5: Decoding the Federal Reserve's Balance Sheet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Fed's weekly H.4.1 statistical release provides a transparent view of its assets and liabilities, allowing analysts to track liquidity flows. The balance sheet adheres to the identity: Assets = Liabilities + Capital.</w:t>
      </w:r>
    </w:p>
    <w:p w:rsidR="00000000" w:rsidDel="00000000" w:rsidP="00000000" w:rsidRDefault="00000000" w:rsidRPr="00000000" w14:paraId="0000008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Assets Side:</w:t>
      </w:r>
      <w:r w:rsidDel="00000000" w:rsidR="00000000" w:rsidRPr="00000000">
        <w:rPr>
          <w:rtl w:val="0"/>
        </w:rPr>
        <w:t xml:space="preserve"> Primarily reflects securities purchased through open market operations, which drives the balance sheet's overall size. The main components are Treasury Securities and Mortgage-Backed Securities (MBS) held in the SOMA portfolio. When the Fed buys a security, it credits a dealer's bank with reserves, injecting liquidity.</w:t>
      </w:r>
    </w:p>
    <w:p w:rsidR="00000000" w:rsidDel="00000000" w:rsidP="00000000" w:rsidRDefault="00000000" w:rsidRPr="00000000" w14:paraId="0000008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Liabilities Side:</w:t>
      </w:r>
      <w:r w:rsidDel="00000000" w:rsidR="00000000" w:rsidRPr="00000000">
        <w:rPr>
          <w:rtl w:val="0"/>
        </w:rPr>
        <w:t xml:space="preserve"> Reveals how assets are financed and determines the level of reserves available to the banking system. The key liabilities are:</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Federal Reserve Notes (Currency):</w:t>
      </w:r>
      <w:r w:rsidDel="00000000" w:rsidR="00000000" w:rsidRPr="00000000">
        <w:rPr>
          <w:rtl w:val="0"/>
        </w:rPr>
        <w:t xml:space="preserve"> An increase in currency in circulation acts as a structural drain on bank reserves.</w:t>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Bank Reserves:</w:t>
      </w:r>
      <w:r w:rsidDel="00000000" w:rsidR="00000000" w:rsidRPr="00000000">
        <w:rPr>
          <w:rtl w:val="0"/>
        </w:rPr>
        <w:t xml:space="preserve"> Deposits held by commercial banks at the Fed. This is the most critical liability for money market dynamics and the direct measure of liquidity in the banking system.</w:t>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Overnight Reverse Repo (ON RRP) Facility:</w:t>
      </w:r>
      <w:r w:rsidDel="00000000" w:rsidR="00000000" w:rsidRPr="00000000">
        <w:rPr>
          <w:rtl w:val="0"/>
        </w:rPr>
        <w:t xml:space="preserve"> Cash placed with the Fed by MMFs and others. An increase in ON RRP usage represents a temporary drain of cash from the private financial system.</w:t>
      </w:r>
    </w:p>
    <w:p w:rsidR="00000000" w:rsidDel="00000000" w:rsidP="00000000" w:rsidRDefault="00000000" w:rsidRPr="00000000" w14:paraId="0000008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Treasury General Account (TGA):</w:t>
      </w:r>
      <w:r w:rsidDel="00000000" w:rsidR="00000000" w:rsidRPr="00000000">
        <w:rPr>
          <w:rtl w:val="0"/>
        </w:rPr>
        <w:t xml:space="preserve"> The U.S. Treasury's checking account. When the Treasury receives funds (e.g., taxes), the TGA balance rises, and bank reserves fall. The TGA is a significant and often volatile factor that drains or adds reserves.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balance sheet must balance, bank reserves act as the residual variable. This can be summarized in a simple "liquidity equation":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\text{Bank Reserves} \approx \Delta \text{Fed Assets} - \Delta \text{ON RRP} - \Delta \text{TGA} - \Delta \text{Currency}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tracking the weekly changes in each of these components, an analyst can construct a real-time model of the net injection or withdrawal of liquidity from the banking system.</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6: The Dynamics of Quantitative Easing (QE) and Tightening (QT)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 and QT are powerful tools that directly influence the size of the Fed's balance sheet and the aggregate level of liquidity.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Quantitative Easing (QE) Mechanics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QE, the Fed purchases large quantities of government securities, paying for them by creating new bank reserves. This expands the Fed's balance sheet and injects massive liquidity into the banking system. QE transmits to the economy through several channels: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Liquidity Channel:</w:t>
      </w:r>
      <w:r w:rsidDel="00000000" w:rsidR="00000000" w:rsidRPr="00000000">
        <w:rPr>
          <w:rtl w:val="0"/>
        </w:rPr>
        <w:t xml:space="preserve"> Abundant reserves put downward pressure on short-term rates and encourage bank lending.</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Portfolio Rebalance Channel:</w:t>
      </w:r>
      <w:r w:rsidDel="00000000" w:rsidR="00000000" w:rsidRPr="00000000">
        <w:rPr>
          <w:rtl w:val="0"/>
        </w:rPr>
        <w:t xml:space="preserve"> By removing safe assets from the market, the Fed forces investors to "rebalance" into riskier assets like corporate bonds and equities, easing broader financial conditions.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Collateral Scarcity Channel:</w:t>
      </w:r>
      <w:r w:rsidDel="00000000" w:rsidR="00000000" w:rsidRPr="00000000">
        <w:rPr>
          <w:rtl w:val="0"/>
        </w:rPr>
        <w:t xml:space="preserve"> An important and often underappreciated consequence of QE is that by purchasing vast quantities of Treasury securities, the Fed removes the highest-quality collateral from private circulation. This can lead to a scarcity of these assets, which are essential for repo and other secured financing transactions, and can impair market functioning.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Quantitative Tightening (QT) Mechanics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 is the process of shrinking the Fed's balance sheet, primarily through "runoff," where it allows maturing securities to expire without reinvesting the principal. This process effectively reverses QE, draining reserves from the banking system and tightening financial conditions.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impact of QT is not linear. In the initial stages when ON RRP balances are high, the reserve drain is largely absorbed by a decline in the ON RRP facility as MMFs use their cash to buy new Treasury bills issued to the public. The true tightening effect, or "bite," of QT begins when the ON RRP facility has been substantially drained. At this point, further runoff directly and immediately reduces bank reserves, accelerating upward pressure on funding rates. Therefore, monitoring the level of the ON RRP facility during a QT cycle is a crucial forward-looking indicator.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Part III: A Framework for Signal Extraction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section develops a practical toolkit for translating raw money market data into interpretable indicators of system liquidity, credit risk, and collateral scarcity.</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7: Monitoring Systemic Liquidity: The Interplay of Reserves, RRP, and the TGA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practical dashboard for monitoring system-wide liquidity can be constructed by tracking the weekly changes in key variables from the Fed's H.4.1 release (Bank Reserves, ON RRP Usage, TGA Balance) and inputting them into the liquidity equation. This analysis reveals whether changes in reserves were driven by Fed policy, private market risk appetite, or fiscal flows. This should be supplemented with qualitative analysis of drivers like Treasury issuance decisions (bills vs. coupons), as heavy bill issuance tends to drain the ON RRP while heavy coupon issuance is more likely to impact bank reserves directly.</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8: Interpreting Rate Spreads as Market Barometers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Spreads between various money market rates provide a rich, high-frequency source of information. A systematic analysis can transform them into powerful diagnostic indicators.</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Secured vs. Unsecured (SOFR vs. EFFR/OBFR):</w:t>
      </w:r>
      <w:r w:rsidDel="00000000" w:rsidR="00000000" w:rsidRPr="00000000">
        <w:rPr>
          <w:rtl w:val="0"/>
        </w:rPr>
        <w:t xml:space="preserve"> The primary indicator of systemic credit risk and flight-to-safety dynamics. A widening spread signals rising concern about interbank counterparty solvency.</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Repo General Collateral (GC) vs. "Specials":</w:t>
      </w:r>
      <w:r w:rsidDel="00000000" w:rsidR="00000000" w:rsidRPr="00000000">
        <w:rPr>
          <w:rtl w:val="0"/>
        </w:rPr>
        <w:t xml:space="preserve"> The spread between the GC repo rate and the rate for a specific, in-demand security is a direct measure of that security's scarcity. Tracking which bonds are trading special provides granular insight into positioning and demand in the securities finance market.</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Intra-Market Spreads (e.g., Tri-Party vs. Bilateral Repo):</w:t>
      </w:r>
      <w:r w:rsidDel="00000000" w:rsidR="00000000" w:rsidRPr="00000000">
        <w:rPr>
          <w:rtl w:val="0"/>
        </w:rPr>
        <w:t xml:space="preserve"> Divergences between rates in different repo segments signal market segmentation and funding bottlenecks, often pointing to constraints at the dealer level.</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Market Rates vs. Administered Rates (SOFR vs. RRP Rate):</w:t>
      </w:r>
      <w:r w:rsidDel="00000000" w:rsidR="00000000" w:rsidRPr="00000000">
        <w:rPr>
          <w:rtl w:val="0"/>
        </w:rPr>
        <w:t xml:space="preserve"> When reserves are abundant, market rates tend to be pinned to the ON RRP floor. As reserves become scarcer, rates lift off the floor and drift toward IORB. This spread is a key leading indicator of mounting funding pressure.</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9: The Critical Role of Collateral: Velocity, Quality, and Transformation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advanced understanding of monetary plumbing requires an appreciation for the dynamics of collateral itself.</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Collateral Velocity and Re-use:</w:t>
      </w:r>
      <w:r w:rsidDel="00000000" w:rsidR="00000000" w:rsidRPr="00000000">
        <w:rPr>
          <w:rtl w:val="0"/>
        </w:rPr>
        <w:t xml:space="preserve"> Also known as rehypothecation, this refers to the number of times a single piece of collateral is pledged in subsequent transactions. This process creates "collateral chains" that lubricate the financial system but also increase interconnectedness and the potential for shock amplification. While hard to measure directly, the "specialness" of government bonds can serve as a proxy, as scarcity induced by programs like QE forces the remaining securities to be worked harder (re-used more).</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Collateral Quality and Funding Costs:</w:t>
      </w:r>
      <w:r w:rsidDel="00000000" w:rsidR="00000000" w:rsidRPr="00000000">
        <w:rPr>
          <w:rtl w:val="0"/>
        </w:rPr>
        <w:t xml:space="preserve"> High-quality liquid collateral commands the lowest repo rates and haircuts (i.e., most leverage). As quality decreases, funding costs rise. During a crisis, this becomes acute, as a "flight to quality" can trigger a vicious cycle of margin calls and fire sales for lower-quality assets.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Part IV: Connecting Macro Plumbing to Micro Securities Finance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section bridges the gap between the macroeconomic analysis and the specific domain of securities finance, establishing clear transmission mechanisms.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10: The Transmission Mechanism: From Repo Rates to Lending Fees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nexus is the balance sheet of the dealer-bank, which is a major intermediary in both the repo and securities lending markets. Conditions in the former directly dictate behavior in the latter through several channels: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Funding Cost Channel:</w:t>
      </w:r>
      <w:r w:rsidDel="00000000" w:rsidR="00000000" w:rsidRPr="00000000">
        <w:rPr>
          <w:rtl w:val="0"/>
        </w:rPr>
        <w:t xml:space="preserve"> An increase in repo rates raises a dealer's marginal cost of financing its entire inventory. This higher cost of capital will inevitably be passed on to clients in the form of higher securities lending fees or wider bid-ask spreads.</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Balance Sheet Capacity Channel:</w:t>
      </w:r>
      <w:r w:rsidDel="00000000" w:rsidR="00000000" w:rsidRPr="00000000">
        <w:rPr>
          <w:rtl w:val="0"/>
        </w:rPr>
        <w:t xml:space="preserve"> Regulations like the Supplementary Leverage Ratio (SLR) make balance sheet space a costly commodity. When constrained, particularly at quarter-ends due to "window dressing," a dealer must ration this scarce resource, leading it to charge a premium for balance-sheet-intensive activities like repo and securities lending.</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Collateral Demand Channel:</w:t>
      </w:r>
      <w:r w:rsidDel="00000000" w:rsidR="00000000" w:rsidRPr="00000000">
        <w:rPr>
          <w:rtl w:val="0"/>
        </w:rPr>
        <w:t xml:space="preserve"> Demand to borrow a specific security often manifests first and most transparently in the repo market when it begins to trade "on special." The high implicit borrowing cost in the repo market (the specialness spread) will be reflected in a high explicit borrowing fee in the securities lending market.</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Monetary Policy Stance Channel:</w:t>
      </w:r>
      <w:r w:rsidDel="00000000" w:rsidR="00000000" w:rsidRPr="00000000">
        <w:rPr>
          <w:rtl w:val="0"/>
        </w:rPr>
        <w:t xml:space="preserve"> The overall stance of monetary policy influences the types of trades that drive demand. For example, contractionary policy (higher rates) can increase demand to borrow fixed-income securities for hedging or short-selling based on rising yields.</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11: Developing Actionable Signals for Securities Finance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chapter synthesizes the analysis into a concrete framework of actionable signals and testable hypotheses.</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Signal 1: Repo Specialness as a Leading Indicator for Securities Lending Fees.</w:t>
      </w:r>
    </w:p>
    <w:p w:rsidR="00000000" w:rsidDel="00000000" w:rsidP="00000000" w:rsidRDefault="00000000" w:rsidRPr="00000000" w14:paraId="000000B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Hypothesis:</w:t>
      </w:r>
      <w:r w:rsidDel="00000000" w:rsidR="00000000" w:rsidRPr="00000000">
        <w:rPr>
          <w:rtl w:val="0"/>
        </w:rPr>
        <w:t xml:space="preserve"> The specialness spread of a CUSIP in the repo market is a positive and statistically significant leading indicator of the securities lending fee for that same CUSIP.</w:t>
      </w:r>
    </w:p>
    <w:p w:rsidR="00000000" w:rsidDel="00000000" w:rsidP="00000000" w:rsidRDefault="00000000" w:rsidRPr="00000000" w14:paraId="000000B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Rationale:</w:t>
      </w:r>
      <w:r w:rsidDel="00000000" w:rsidR="00000000" w:rsidRPr="00000000">
        <w:rPr>
          <w:rtl w:val="0"/>
        </w:rPr>
        <w:t xml:space="preserve"> The repo market is a high-frequency venue where demand is expressed first. This implicit cost should precede and be highly correlated with the explicit fee in the securities lending market.</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Signal 2: Dealer Balance Sheet Constraints as a Predictor of General Lending Costs.</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Hypothesis:</w:t>
      </w:r>
      <w:r w:rsidDel="00000000" w:rsidR="00000000" w:rsidRPr="00000000">
        <w:rPr>
          <w:rtl w:val="0"/>
        </w:rPr>
        <w:t xml:space="preserve"> Measures of system-wide dealer balance sheet constraints (e.g., quarter-end repo spikes, high ON RRP balance) are positively correlated with the average cost of borrowing GC securities.</w:t>
      </w:r>
    </w:p>
    <w:p w:rsidR="00000000" w:rsidDel="00000000" w:rsidP="00000000" w:rsidRDefault="00000000" w:rsidRPr="00000000" w14:paraId="000000B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Rationale:</w:t>
      </w:r>
      <w:r w:rsidDel="00000000" w:rsidR="00000000" w:rsidRPr="00000000">
        <w:rPr>
          <w:rtl w:val="0"/>
        </w:rPr>
        <w:t xml:space="preserve"> Regulatory pressure forces dealers to charge more for all balance-sheet-intensive activities.</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Signal 3: Composite Signal Construction.</w:t>
      </w:r>
    </w:p>
    <w:p w:rsidR="00000000" w:rsidDel="00000000" w:rsidP="00000000" w:rsidRDefault="00000000" w:rsidRPr="00000000" w14:paraId="000000B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Raw indicators are often noisy. To create a more robust signal, multiple indicators can be synthesized into composite indices.</w:t>
      </w:r>
    </w:p>
    <w:p w:rsidR="00000000" w:rsidDel="00000000" w:rsidP="00000000" w:rsidRDefault="00000000" w:rsidRPr="00000000" w14:paraId="000000B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Plumbing Liquidity Index (PLI):</w:t>
      </w:r>
      <w:r w:rsidDel="00000000" w:rsidR="00000000" w:rsidRPr="00000000">
        <w:rPr>
          <w:rtl w:val="0"/>
        </w:rPr>
        <w:t xml:space="preserve"> A comprehensive measure of funding market stress, potentially constructed from the OBFR-SOFR spread, ON RRP usage, and repo market volatility. A rising PLI indicates tightening liquidity and rising systemic stress.</w:t>
      </w:r>
    </w:p>
    <w:p w:rsidR="00000000" w:rsidDel="00000000" w:rsidP="00000000" w:rsidRDefault="00000000" w:rsidRPr="00000000" w14:paraId="000000B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Collateral Quality Demand (CQD) Indicator:</w:t>
      </w:r>
      <w:r w:rsidDel="00000000" w:rsidR="00000000" w:rsidRPr="00000000">
        <w:rPr>
          <w:rtl w:val="0"/>
        </w:rPr>
        <w:t xml:space="preserve"> A measure of the market's "flight to quality," potentially constructed from spreads between repo rates for different collateral types (e.g., Treasuries vs. MBS, or GC vs. corporate bonds). A rising CQD indicates increasing risk aversion.</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12: A Quantitative Toolkit for Implementation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operationalize this framework, an analyst requires access to specific data and modeling techniques.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 Sources:</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Public/Free:</w:t>
      </w:r>
      <w:r w:rsidDel="00000000" w:rsidR="00000000" w:rsidRPr="00000000">
        <w:rPr>
          <w:rtl w:val="0"/>
        </w:rPr>
        <w:t xml:space="preserve"> A significant amount of data is available from the Federal Reserve Economic Data (FRED) platform, the New York Fed's Markets Data page, and the Office of Financial Research (OFR).</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Commercial/Subscription:</w:t>
      </w:r>
      <w:r w:rsidDel="00000000" w:rsidR="00000000" w:rsidRPr="00000000">
        <w:rPr>
          <w:rtl w:val="0"/>
        </w:rPr>
        <w:t xml:space="preserve"> More granular data for specific repo rates, futures, and comprehensive, security-level securities lending data (fees, availability, utilization) can be sourced from providers like Bloomberg, Refinitiv, CME Group, S&amp;P Global, and DataLend.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Modeling Approaches:</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Time-Series Regression:</w:t>
      </w:r>
      <w:r w:rsidDel="00000000" w:rsidR="00000000" w:rsidRPr="00000000">
        <w:rPr>
          <w:rtl w:val="0"/>
        </w:rPr>
        <w:t xml:space="preserve"> To test specific hypotheses, such as modeling a security's lending fee as a function of its prior day's repo specialness spread.</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Vector Autoregression (VAR) Models:</w:t>
      </w:r>
      <w:r w:rsidDel="00000000" w:rsidR="00000000" w:rsidRPr="00000000">
        <w:rPr>
          <w:rtl w:val="0"/>
        </w:rPr>
        <w:t xml:space="preserve"> To capture the complex, dynamic interrelationships between multiple plumbing variables and analyze how shocks propagate through the system.</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Event Study Analysis:</w:t>
      </w:r>
      <w:r w:rsidDel="00000000" w:rsidR="00000000" w:rsidRPr="00000000">
        <w:rPr>
          <w:rtl w:val="0"/>
        </w:rPr>
        <w:t xml:space="preserve"> To isolate and quantify the impact of specific events (e.g., FOMC announcements) on securities finance metrics across different asset classes.</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Regime-Shift Modeling:</w:t>
      </w:r>
      <w:r w:rsidDel="00000000" w:rsidR="00000000" w:rsidRPr="00000000">
        <w:rPr>
          <w:rtl w:val="0"/>
        </w:rPr>
        <w:t xml:space="preserve"> To classify the market into distinct states (e.g., 'Calm,' 'Funding Stress') based on plumbing indicators and analyze how securities finance variables behave differently within each regime.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Part V: The Framework in Action &amp; Future Outlook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true test of the framework is its ability to explain past events and provide a lens for future developments.</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13: Case Study: The September 2019 Repo Spike</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Event:</w:t>
      </w:r>
      <w:r w:rsidDel="00000000" w:rsidR="00000000" w:rsidRPr="00000000">
        <w:rPr>
          <w:rtl w:val="0"/>
        </w:rPr>
        <w:t xml:space="preserve"> In mid-September 2019, overnight repo rates (SOFR) spiked from ~2.2% to 5.25%, with some trades near 10%, forcing the Fed to intervene with large-scale repo operations for the first time in a decade.</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Cause &amp; Framework Application:</w:t>
      </w:r>
      <w:r w:rsidDel="00000000" w:rsidR="00000000" w:rsidRPr="00000000">
        <w:rPr>
          <w:rtl w:val="0"/>
        </w:rPr>
        <w:t xml:space="preserve"> The event was a crisis of liquidity distribution. The triggers were a corporate tax deadline and a large Treasury auction settlement, which drained over $100 billion in reserves from the system. This occurred against a vulnerable backdrop of dwindling bank reserves due to QT and record-high dealer inventories of Treasuries. The framework's indicators would have shown this mounting pressure, particularly the rising spread between SOFR and IORB. The spike represented a massive increase in the cost of funding for dealers, which would have immediately transmitted to wider spreads and reduced availability in the securities lending market.</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14: Case Study: The March 2020 "Dash for Cash"</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Event:</w:t>
      </w:r>
      <w:r w:rsidDel="00000000" w:rsidR="00000000" w:rsidRPr="00000000">
        <w:rPr>
          <w:rtl w:val="0"/>
        </w:rPr>
        <w:t xml:space="preserve"> The onset of the COVID-19 pandemic triggered a global, systemic "dash for cash" that broke the market even for U.S. Treasuries. The need for dollar liquidity was so extreme that investors became forced sellers of their most liquid assets, overwhelming dealer balance sheets and causing a complete breakdown in Treasury market functioning.</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Cause &amp; Framework Application:</w:t>
      </w:r>
      <w:r w:rsidDel="00000000" w:rsidR="00000000" w:rsidRPr="00000000">
        <w:rPr>
          <w:rtl w:val="0"/>
        </w:rPr>
        <w:t xml:space="preserve"> This was a crisis of both liquidity and confidence. The framework's PLI would have surged as funding markets seized, and the CQD indicator would have reached unprecedented levels, reflecting the ultimate flight to quality. The subsequent "unlimited QE" and other emergency facilities from the Fed would have been clearly visible on the dashboards, and their success measured by the eventual calming of the stress indicators. For securities finance, the framework would have predicted a massive bifurcation: fees for borrowing HQLA like Treasuries would turn deeply negative (highly special), while fees for any collateral with credit risk would explode higher as dealers faced their own funding crisis.</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15: The Horizon: Potential Market Structure Evolutions</w:t>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 Untwist":</w:t>
      </w:r>
      <w:r w:rsidDel="00000000" w:rsidR="00000000" w:rsidRPr="00000000">
        <w:rPr>
          <w:rtl w:val="0"/>
        </w:rPr>
        <w:t xml:space="preserve"> A forward-looking thesis connects the decline in bank liquidity with the rising duration of the Fed's own portfolio. To avoid a reserve scarcity event, the Fed may eventually need to start buying T-bills to add reserves while it continues QT on its long-term bonds—an "Operation Untwist." Monitoring the plumbing indicators provides crucial insight into when and why such a policy shift might occur.</w:t>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Central Bank Digital Currencies (CBDCs):</w:t>
      </w:r>
      <w:r w:rsidDel="00000000" w:rsidR="00000000" w:rsidRPr="00000000">
        <w:rPr>
          <w:rtl w:val="0"/>
        </w:rPr>
        <w:t xml:space="preserve"> The introduction of a CBDC could fundamentally alter the financial landscape. A widely available retail CBDC could lead to bank disintermediation, shrinking bank balance sheets and reducing their capacity for intermediation in SFT markets. A wholesale CBDC could facilitate "atomic settlement," eliminating settlement risk but profoundly altering the roles of intermediaries.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Part VI: Strategic Application for EquiLend</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16: Proposed Research Agenda: Fusing Macro Indicators with Proprietary Data</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preceding analysis provides a robust framework for monitoring systemic liquidity and funding market dynamics using publicly available data. While essential for establishing a baseline, the true analytical edge and commercial value lie in systematically integrating this macro perspective with EquiLend's proprietary, high-frequency securities finance data. The following research initiatives are designed to achieve this synthesis, moving our analysis from market observation to the generation of unique, actionable intelligence.</w:t>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Development of a Proprietary Short Interest Conviction Index:</w:t>
      </w:r>
      <w:r w:rsidDel="00000000" w:rsidR="00000000" w:rsidRPr="00000000">
        <w:rPr>
          <w:rtl w:val="0"/>
        </w:rPr>
        <w:t xml:space="preserve"> This initiative would involve constructing a proprietary index based on the "specialness" of securities in the financing market. By systematically tracking the depth and breadth of securities trading at a significant discount to the general collateral rate, we can create a high-frequency indicator of conviction among short sellers. This would provide a more dynamic and nuanced view of market sentiment than is available from periodic disclosure of short interest positions.</w:t>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High-Frequency Market Participant Activity Monitor:</w:t>
      </w:r>
      <w:r w:rsidDel="00000000" w:rsidR="00000000" w:rsidRPr="00000000">
        <w:rPr>
          <w:rtl w:val="0"/>
        </w:rPr>
        <w:t xml:space="preserve"> Regulatory filings such as SEC Form PF provide only a quarterly, lagged snapshot of positioning. Leveraging our daily, transaction-level dataset, we can develop near real-time indicators of activity and demand for financing from key market segments, particularly hedge funds. Such a monitor would offer a superior informational edge in assessing shifts in leverage and risk appetite across different trading strategies.</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Systematic Analysis of Funding Conditions and Securities Finance:</w:t>
      </w:r>
      <w:r w:rsidDel="00000000" w:rsidR="00000000" w:rsidRPr="00000000">
        <w:rPr>
          <w:rtl w:val="0"/>
        </w:rPr>
        <w:t xml:space="preserve"> This research stream would seek to quantify the "beta" of securities finance activity to changes in systemic funding conditions. We would construct models to measure the sensitivity of financing rates (cost) and utilization (demand) to fluctuations in key macro indicators like the O/N RRP balance, bank reserves, and interbank funding spreads. The objective is to identify and predict how shifts in market plumbing directly impact the economics of maintaining both long-levered and short positions.</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Integrated Macro-Quantitative Models:</w:t>
      </w:r>
      <w:r w:rsidDel="00000000" w:rsidR="00000000" w:rsidRPr="00000000">
        <w:rPr>
          <w:rtl w:val="0"/>
        </w:rPr>
        <w:t xml:space="preserve"> The final initiative is to combine these proprietary signals into a holistic, multi-factor modeling framework. This would involve analyzing our internal indicators in the context of the macro variables outlined in this primer. For example, a model could assess how hedge fund borrowing demand (our data) responds to changes in Treasury bill supply (public data), or how the cost of shorting specific sectors evolves around key Federal Reserve policy decisions.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Pursuing this research agenda will allow us to create a suite of differentiated analytical products, delivering a distinct competitive advantage and providing exceptional value to our client base.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Conclusion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monetary plumbing of the financial system, though complex, is not an indecipherable black box. It is a system governed by observable principles and driven by the interactions of a few key actors. This report has laid out a comprehensive framework for deconstructing the system's architecture, demonstrating how the interplay between the Fed's policies, fiscal operations, and market participants determines the level of liquidity available to the system.</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Most critically, it has established the direct transmission channels through which these macroeconomic signals propagate into the micro-level dynamics of the securities finance market. The key takeaway is that conditions in our market are not determined in a vacuum; they are deeply and inextricably linked to the broader flows of cash and collateral coursing through the financial plumbing. By adopting the data-driven, systematic approach outlined in this report, it is possible to move from being a passive observer to an informed practitioner capable of anticipating market impacts and making more strategic, data-driven decisions.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Works Cited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 comprehensive, de-duplicated, and alphabetized list of all 85 unique sources cited across the original documents would be compiled 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