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rtl w:val="0"/>
        </w:rPr>
        <w:t xml:space="preserve">Monetary Plumbing and Securities Finance</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3">
      <w:pPr>
        <w:rPr/>
        <w:sectPr>
          <w:headerReference r:id="rId7" w:type="default"/>
          <w:pgSz w:h="15840" w:w="12240" w:orient="portrait"/>
          <w:pgMar w:bottom="1440" w:top="1440" w:left="1440" w:right="1440" w:header="0" w:footer="720"/>
          <w:pgNumType w:start="1"/>
        </w:sectPr>
      </w:pPr>
      <w:r w:rsidDel="00000000" w:rsidR="00000000" w:rsidRPr="00000000">
        <w:rPr>
          <w:b w:val="1"/>
          <w:rtl w:val="0"/>
        </w:rPr>
        <w:t xml:space="preserve">A Framework for Signal Extraction</w:t>
      </w:r>
      <w:r w:rsidDel="00000000" w:rsidR="00000000" w:rsidRPr="00000000">
        <w:rPr>
          <w:rtl w:val="0"/>
        </w:rPr>
      </w:r>
    </w:p>
    <w:p w:rsidR="00000000" w:rsidDel="00000000" w:rsidP="00000000" w:rsidRDefault="00000000" w:rsidRPr="00000000" w14:paraId="00000004">
      <w:pPr>
        <w:pStyle w:val="Heading2"/>
        <w:spacing w:after="240" w:before="0" w:lineRule="auto"/>
        <w:rPr/>
      </w:pPr>
      <w:r w:rsidDel="00000000" w:rsidR="00000000" w:rsidRPr="00000000">
        <w:rPr>
          <w:rtl w:val="0"/>
        </w:rPr>
        <w:t xml:space="preserve">Part I: The Architecture of Modern Money Markets</w:t>
      </w:r>
    </w:p>
    <w:p w:rsidR="00000000" w:rsidDel="00000000" w:rsidP="00000000" w:rsidRDefault="00000000" w:rsidRPr="00000000" w14:paraId="00000005">
      <w:pPr>
        <w:pStyle w:val="Heading3"/>
        <w:spacing w:before="0" w:lineRule="auto"/>
        <w:rPr/>
      </w:pPr>
      <w:r w:rsidDel="00000000" w:rsidR="00000000" w:rsidRPr="00000000">
        <w:rPr>
          <w:rtl w:val="0"/>
        </w:rPr>
        <w:t xml:space="preserve">Chapter 1: Deconstructing the Plumbing: The System's Core Components</w:t>
      </w:r>
    </w:p>
    <w:p w:rsidR="00000000" w:rsidDel="00000000" w:rsidP="00000000" w:rsidRDefault="00000000" w:rsidRPr="00000000" w14:paraId="00000006">
      <w:pPr>
        <w:spacing w:after="255" w:lineRule="auto"/>
        <w:rPr/>
      </w:pPr>
      <w:r w:rsidDel="00000000" w:rsidR="00000000" w:rsidRPr="00000000">
        <w:rPr>
          <w:rtl w:val="0"/>
        </w:rPr>
        <w:t xml:space="preserve">The term "monetary plumbing" serves as a powerful metaphor for the intricate and often opaque infrastructure that underpins the global financial system. It refers to the institutional elements—the "pipes and valves"—that are fixed in the short run and facilitate the essential flows of credit, capital, and financial risk. This institutional framework connects central banks, dealer banks, money market funds, and other major participants through a series of legal and operational agreements. While this infrastructure operates largely unseen during periods of market calm, its resilience and design become critically important during periods of stress, when it determines the scope for both risk-mitigating and harmful actions. Just as the broader economy relies on an effective financial system, the internal efficacy of that system depends on the proper functioning of its plumbing.</w:t>
      </w:r>
    </w:p>
    <w:p w:rsidR="00000000" w:rsidDel="00000000" w:rsidP="00000000" w:rsidRDefault="00000000" w:rsidRPr="00000000" w14:paraId="00000007">
      <w:pPr>
        <w:pStyle w:val="Heading4"/>
        <w:spacing w:before="0" w:lineRule="auto"/>
        <w:rPr/>
      </w:pPr>
      <w:r w:rsidDel="00000000" w:rsidR="00000000" w:rsidRPr="00000000">
        <w:rPr>
          <w:rtl w:val="0"/>
        </w:rPr>
        <w:t xml:space="preserve">The Key Participants: Nodes in the Network</w:t>
      </w:r>
    </w:p>
    <w:p w:rsidR="00000000" w:rsidDel="00000000" w:rsidP="00000000" w:rsidRDefault="00000000" w:rsidRPr="00000000" w14:paraId="00000008">
      <w:pPr>
        <w:rPr/>
      </w:pPr>
      <w:r w:rsidDel="00000000" w:rsidR="00000000" w:rsidRPr="00000000">
        <w:rPr>
          <w:rtl w:val="0"/>
        </w:rPr>
        <w:t xml:space="preserve">The monetary plumbing network is composed of several key types of institutions, each playing a distinct and interdependent role.</w:t>
      </w:r>
    </w:p>
    <w:p w:rsidR="00000000" w:rsidDel="00000000" w:rsidP="00000000" w:rsidRDefault="00000000" w:rsidRPr="00000000" w14:paraId="00000009">
      <w:pPr>
        <w:numPr>
          <w:ilvl w:val="0"/>
          <w:numId w:val="1"/>
        </w:numPr>
        <w:ind w:left="600" w:hanging="360"/>
        <w:rPr/>
      </w:pPr>
      <w:r w:rsidDel="00000000" w:rsidR="00000000" w:rsidRPr="00000000">
        <w:rPr>
          <w:b w:val="1"/>
          <w:rtl w:val="0"/>
        </w:rPr>
        <w:t xml:space="preserve">Central Banks (The Federal Reserve):</w:t>
      </w:r>
      <w:r w:rsidDel="00000000" w:rsidR="00000000" w:rsidRPr="00000000">
        <w:rPr>
          <w:rtl w:val="0"/>
        </w:rPr>
        <w:t xml:space="preserve"> At the apex of the system is the central bank, which acts as the ultimate source of liquidity and the primary regulator. The Federal Reserve (Fed) manages the nation's money supply, implements monetary policy, and serves as a lender of last resort to ensure the stability of the financial system. Its balance sheet operations, which will be detailed in Part II, are the primary driver of liquidity conditions within the plumbing.</w:t>
      </w:r>
    </w:p>
    <w:p w:rsidR="00000000" w:rsidDel="00000000" w:rsidP="00000000" w:rsidRDefault="00000000" w:rsidRPr="00000000" w14:paraId="0000000A">
      <w:pPr>
        <w:numPr>
          <w:ilvl w:val="0"/>
          <w:numId w:val="1"/>
        </w:numPr>
        <w:ind w:left="600" w:hanging="360"/>
        <w:rPr/>
      </w:pPr>
      <w:r w:rsidDel="00000000" w:rsidR="00000000" w:rsidRPr="00000000">
        <w:rPr>
          <w:b w:val="1"/>
          <w:rtl w:val="0"/>
        </w:rPr>
        <w:t xml:space="preserve">Dealer Banks:</w:t>
      </w:r>
      <w:r w:rsidDel="00000000" w:rsidR="00000000" w:rsidRPr="00000000">
        <w:rPr>
          <w:rtl w:val="0"/>
        </w:rPr>
        <w:t xml:space="preserve"> These institutions form the central hubs of the network. As primary dealers, they are the main counterparties for the Federal Reserve's open market operations. More broadly, they act as market makers in a vast array of securities, provide prime brokerage services to hedge funds, and serve as the critical intermediaries connecting cash-rich institutions with those in need of funding or leverage. Their balance sheets are the primary conduits through which central bank policy is transmitted to the wider market. Consequently, any factor affecting dealer balance sheet capacity—be it regulatory capital requirements or market shocks—radiates outward, impacting the cost and availability of funding for all other participants. Monitoring the health and intermediation capacity of the dealer network is therefore a proxy for monitoring the health of the entire plumbing system.</w:t>
      </w:r>
    </w:p>
    <w:p w:rsidR="00000000" w:rsidDel="00000000" w:rsidP="00000000" w:rsidRDefault="00000000" w:rsidRPr="00000000" w14:paraId="0000000B">
      <w:pPr>
        <w:numPr>
          <w:ilvl w:val="0"/>
          <w:numId w:val="1"/>
        </w:numPr>
        <w:ind w:left="600" w:hanging="360"/>
        <w:rPr/>
      </w:pPr>
      <w:r w:rsidDel="00000000" w:rsidR="00000000" w:rsidRPr="00000000">
        <w:rPr>
          <w:b w:val="1"/>
          <w:rtl w:val="0"/>
        </w:rPr>
        <w:t xml:space="preserve">Money Market Mutual Funds (MMFs):</w:t>
      </w:r>
      <w:r w:rsidDel="00000000" w:rsidR="00000000" w:rsidRPr="00000000">
        <w:rPr>
          <w:rtl w:val="0"/>
        </w:rPr>
        <w:t xml:space="preserve"> MMFs are major providers of cash to the short-term funding markets. They pool investments from individuals and institutions and seek low-risk, short-term, liquid investments. Their primary outlet for this cash is the repurchase agreement (repo) market, where they lend cash to dealers and other institutions against high-quality collateral.</w:t>
      </w:r>
    </w:p>
    <w:p w:rsidR="00000000" w:rsidDel="00000000" w:rsidP="00000000" w:rsidRDefault="00000000" w:rsidRPr="00000000" w14:paraId="0000000C">
      <w:pPr>
        <w:numPr>
          <w:ilvl w:val="0"/>
          <w:numId w:val="1"/>
        </w:numPr>
        <w:ind w:left="600" w:hanging="360"/>
        <w:rPr/>
      </w:pPr>
      <w:r w:rsidDel="00000000" w:rsidR="00000000" w:rsidRPr="00000000">
        <w:rPr>
          <w:b w:val="1"/>
          <w:rtl w:val="0"/>
        </w:rPr>
        <w:t xml:space="preserve">Hedge Funds and Leveraged Investors:</w:t>
      </w:r>
      <w:r w:rsidDel="00000000" w:rsidR="00000000" w:rsidRPr="00000000">
        <w:rPr>
          <w:rtl w:val="0"/>
        </w:rPr>
        <w:t xml:space="preserve"> This diverse group represents the primary borrowers of both cash and specific securities. They utilize repo and prime brokerage services provided by dealers to finance their securities positions, gain leverage, and execute various trading strategies, such as short-selling. Their demand for leverage is a key driver of activity within the plumbing.</w:t>
      </w:r>
    </w:p>
    <w:p w:rsidR="00000000" w:rsidDel="00000000" w:rsidP="00000000" w:rsidRDefault="00000000" w:rsidRPr="00000000" w14:paraId="0000000D">
      <w:pPr>
        <w:numPr>
          <w:ilvl w:val="0"/>
          <w:numId w:val="1"/>
        </w:numPr>
        <w:ind w:left="600" w:hanging="360"/>
        <w:rPr/>
      </w:pPr>
      <w:r w:rsidDel="00000000" w:rsidR="00000000" w:rsidRPr="00000000">
        <w:rPr>
          <w:b w:val="1"/>
          <w:rtl w:val="0"/>
        </w:rPr>
        <w:t xml:space="preserve">Custodial and Clearing Banks:</w:t>
      </w:r>
      <w:r w:rsidDel="00000000" w:rsidR="00000000" w:rsidRPr="00000000">
        <w:rPr>
          <w:rtl w:val="0"/>
        </w:rPr>
        <w:t xml:space="preserve"> These institutions form the operational backbone of the system. They are responsible for the settlement of trades, the management and custody of collateral in tri-party repo arrangements, and often act as agent lenders in the securities lending market, facilitating transactions on behalf of beneficial owners like pension funds and insurers.</w:t>
      </w:r>
    </w:p>
    <w:p w:rsidR="00000000" w:rsidDel="00000000" w:rsidP="00000000" w:rsidRDefault="00000000" w:rsidRPr="00000000" w14:paraId="0000000E">
      <w:pPr>
        <w:pStyle w:val="Heading4"/>
        <w:rPr/>
      </w:pPr>
      <w:r w:rsidDel="00000000" w:rsidR="00000000" w:rsidRPr="00000000">
        <w:rPr>
          <w:rtl w:val="0"/>
        </w:rPr>
        <w:t xml:space="preserve">The Connectors: Pipes, Valves, and Lubricant</w:t>
      </w:r>
    </w:p>
    <w:p w:rsidR="00000000" w:rsidDel="00000000" w:rsidP="00000000" w:rsidRDefault="00000000" w:rsidRPr="00000000" w14:paraId="0000000F">
      <w:pPr>
        <w:rPr/>
      </w:pPr>
      <w:r w:rsidDel="00000000" w:rsidR="00000000" w:rsidRPr="00000000">
        <w:rPr>
          <w:rtl w:val="0"/>
        </w:rPr>
        <w:t xml:space="preserve">The participants in the monetary plumbing system are connected by a series of standardized legal and operational agreements that function as the system's "pipes." These include tri-party repo and clearing agreements, prime-brokerage agreements, and the settlement systems that facilitate the transfer of cash and securities, such as Fedwire.</w:t>
      </w:r>
    </w:p>
    <w:p w:rsidR="00000000" w:rsidDel="00000000" w:rsidP="00000000" w:rsidRDefault="00000000" w:rsidRPr="00000000" w14:paraId="00000010">
      <w:pPr>
        <w:spacing w:after="240" w:lineRule="auto"/>
        <w:rPr/>
      </w:pPr>
      <w:r w:rsidDel="00000000" w:rsidR="00000000" w:rsidRPr="00000000">
        <w:rPr>
          <w:rtl w:val="0"/>
        </w:rPr>
        <w:t xml:space="preserve">The "lubricant" that allows this system to function smoothly is collateral. In the post-financial crisis era, the system has evolved into a "collateral-based banking system," where the plumbing is lubricated with cash or, more often, high-quality, liquid securities used in lieu of cash to secure transactions and mitigate counterparty credit risk. Collateral flows are now recognized as being as important a driver of credit creation as money itself, lying at the very heart of market liquidity and financial stability. Indeed, the distinction between "funding markets" (the flow of cash) and "collateral markets" (the flow of securities) is largely artificial. Every flow of secured funding is met by a corresponding flow of collateral in the opposite direction. This duality means that a scarcity of cash can manifest as a collateral problem (e.g., forcing the fire sale of assets), and a scarcity of high-quality collateral can manifest as a funding problem (e.g., an inability to secure financing). A holistic analytical framework must therefore track both flows simultaneously.</w:t>
      </w:r>
    </w:p>
    <w:p w:rsidR="00000000" w:rsidDel="00000000" w:rsidP="00000000" w:rsidRDefault="00000000" w:rsidRPr="00000000" w14:paraId="00000011">
      <w:pPr>
        <w:pStyle w:val="Heading3"/>
        <w:spacing w:before="0" w:lineRule="auto"/>
        <w:rPr/>
      </w:pPr>
      <w:r w:rsidDel="00000000" w:rsidR="00000000" w:rsidRPr="00000000">
        <w:rPr>
          <w:rtl w:val="0"/>
        </w:rPr>
        <w:t xml:space="preserve">Chapter 2: The Universe of Short-Term Interest Rates (STIR)</w:t>
      </w:r>
    </w:p>
    <w:p w:rsidR="00000000" w:rsidDel="00000000" w:rsidP="00000000" w:rsidRDefault="00000000" w:rsidRPr="00000000" w14:paraId="00000012">
      <w:pPr>
        <w:spacing w:after="255" w:lineRule="auto"/>
        <w:rPr/>
      </w:pPr>
      <w:r w:rsidDel="00000000" w:rsidR="00000000" w:rsidRPr="00000000">
        <w:rPr>
          <w:rtl w:val="0"/>
        </w:rPr>
        <w:t xml:space="preserve">The prices within the monetary plumbing system are expressed through a variety of short-term interest rates (STIR). These rates reflect the cost of borrowing and lending cash over short time horizons, typically overnight to one year. Derivatives based on these rates, such as STIR futures and options, are heavily traded by institutions to hedge against or speculate on interest rate movements. Central banks closely monitor these derivatives markets as they provide a real-time gauge of market expectations for future monetary policy decisions. A granular understanding of the key benchmark rates—how they are constructed and what they represent—is essential for extracting meaningful signals.</w:t>
      </w:r>
    </w:p>
    <w:p w:rsidR="00000000" w:rsidDel="00000000" w:rsidP="00000000" w:rsidRDefault="00000000" w:rsidRPr="00000000" w14:paraId="00000013">
      <w:pPr>
        <w:pStyle w:val="Heading4"/>
        <w:spacing w:before="0" w:lineRule="auto"/>
        <w:rPr/>
      </w:pPr>
      <w:r w:rsidDel="00000000" w:rsidR="00000000" w:rsidRPr="00000000">
        <w:rPr>
          <w:rtl w:val="0"/>
        </w:rPr>
        <w:t xml:space="preserve">Unsecured Rates: The Cost of Interbank Credit</w:t>
      </w:r>
    </w:p>
    <w:p w:rsidR="00000000" w:rsidDel="00000000" w:rsidP="00000000" w:rsidRDefault="00000000" w:rsidRPr="00000000" w14:paraId="00000014">
      <w:pPr>
        <w:rPr/>
      </w:pPr>
      <w:r w:rsidDel="00000000" w:rsidR="00000000" w:rsidRPr="00000000">
        <w:rPr>
          <w:rtl w:val="0"/>
        </w:rPr>
        <w:t xml:space="preserve">Unsecured rates reflect the cost of borrowing cash without posting collateral. They are a pure measure of interbank funding costs and embed a component of counterparty credit risk.</w:t>
      </w:r>
    </w:p>
    <w:p w:rsidR="00000000" w:rsidDel="00000000" w:rsidP="00000000" w:rsidRDefault="00000000" w:rsidRPr="00000000" w14:paraId="00000015">
      <w:pPr>
        <w:numPr>
          <w:ilvl w:val="0"/>
          <w:numId w:val="3"/>
        </w:numPr>
        <w:ind w:left="600" w:hanging="360"/>
        <w:rPr/>
      </w:pPr>
      <w:r w:rsidDel="00000000" w:rsidR="00000000" w:rsidRPr="00000000">
        <w:rPr>
          <w:b w:val="1"/>
          <w:rtl w:val="0"/>
        </w:rPr>
        <w:t xml:space="preserve">Effective Federal Funds Rate (EFFR):</w:t>
      </w:r>
      <w:r w:rsidDel="00000000" w:rsidR="00000000" w:rsidRPr="00000000">
        <w:rPr>
          <w:rtl w:val="0"/>
        </w:rPr>
        <w:t xml:space="preserve"> The EFFR is the primary policy rate targeted by the Federal Reserve's Federal Open Market Committee (FOMC). It represents the rate at which depository institutions lend their reserve balances held at the Federal Reserve to other depository institutions overnight on an uncollateralized basis. The EFFR is calculated by the Federal Reserve Bank of New York as a volume-weighted median of transactions reported by domestic banks and U.S. branches of foreign banks under the FR 2420 reporting requirement. Its level is a key indicator of the stance of monetary policy and influences a wide range of other interest rates in the economy.</w:t>
      </w:r>
    </w:p>
    <w:p w:rsidR="00000000" w:rsidDel="00000000" w:rsidP="00000000" w:rsidRDefault="00000000" w:rsidRPr="00000000" w14:paraId="00000016">
      <w:pPr>
        <w:numPr>
          <w:ilvl w:val="0"/>
          <w:numId w:val="3"/>
        </w:numPr>
        <w:ind w:left="600" w:hanging="360"/>
        <w:rPr/>
      </w:pPr>
      <w:r w:rsidDel="00000000" w:rsidR="00000000" w:rsidRPr="00000000">
        <w:rPr>
          <w:b w:val="1"/>
          <w:rtl w:val="0"/>
        </w:rPr>
        <w:t xml:space="preserve">Overnight Bank Funding Rate (OBFR):</w:t>
      </w:r>
      <w:r w:rsidDel="00000000" w:rsidR="00000000" w:rsidRPr="00000000">
        <w:rPr>
          <w:rtl w:val="0"/>
        </w:rPr>
        <w:t xml:space="preserve"> The OBFR is a broader measure of wholesale, unsecured overnight bank funding costs. It is constructed using the same federal funds transaction data as the EFFR but also includes certain Eurodollar transactions (unsecured U.S. dollar deposits held at banks or branches outside the U.S.) and selected domestic deposit transactions. This broader scope makes the OBFR a more comprehensive gauge of bank funding costs than the EFFR alone and is the benchmark rate for many securities lending transactions.</w:t>
      </w:r>
    </w:p>
    <w:p w:rsidR="00000000" w:rsidDel="00000000" w:rsidP="00000000" w:rsidRDefault="00000000" w:rsidRPr="00000000" w14:paraId="00000017">
      <w:pPr>
        <w:pStyle w:val="Heading4"/>
        <w:rPr/>
      </w:pPr>
      <w:r w:rsidDel="00000000" w:rsidR="00000000" w:rsidRPr="00000000">
        <w:rPr>
          <w:rtl w:val="0"/>
        </w:rPr>
        <w:t xml:space="preserve">Secured Rates: The Cost of Collateralized Funding</w:t>
      </w:r>
    </w:p>
    <w:p w:rsidR="00000000" w:rsidDel="00000000" w:rsidP="00000000" w:rsidRDefault="00000000" w:rsidRPr="00000000" w14:paraId="00000018">
      <w:pPr>
        <w:rPr/>
      </w:pPr>
      <w:r w:rsidDel="00000000" w:rsidR="00000000" w:rsidRPr="00000000">
        <w:rPr>
          <w:rtl w:val="0"/>
        </w:rPr>
        <w:t xml:space="preserve">Secured rates reflect the cost of borrowing cash against high-quality collateral, typically U.S. Treasury securities. Because they are collateralized, these rates are considered nearly risk-free and primarily reflect the supply and demand dynamics for cash and safe assets, rather than bank credit risk.</w:t>
      </w:r>
    </w:p>
    <w:p w:rsidR="00000000" w:rsidDel="00000000" w:rsidP="00000000" w:rsidRDefault="00000000" w:rsidRPr="00000000" w14:paraId="00000019">
      <w:pPr>
        <w:numPr>
          <w:ilvl w:val="0"/>
          <w:numId w:val="4"/>
        </w:numPr>
        <w:ind w:left="600" w:hanging="360"/>
        <w:rPr/>
      </w:pPr>
      <w:r w:rsidDel="00000000" w:rsidR="00000000" w:rsidRPr="00000000">
        <w:rPr>
          <w:b w:val="1"/>
          <w:rtl w:val="0"/>
        </w:rPr>
        <w:t xml:space="preserve">The Secured Overnight Financing Rate (SOFR):</w:t>
      </w:r>
      <w:r w:rsidDel="00000000" w:rsidR="00000000" w:rsidRPr="00000000">
        <w:rPr>
          <w:rtl w:val="0"/>
        </w:rPr>
        <w:t xml:space="preserve"> SOFR has been established as the primary replacement for LIBOR for U.S. dollar derivatives and loans. It is the broadest measure of the cost of borrowing cash overnight collateralized by Treasury securities. Its construction is hierarchical, building upon narrower measures of the repo market:</w:t>
      </w:r>
    </w:p>
    <w:p w:rsidR="00000000" w:rsidDel="00000000" w:rsidP="00000000" w:rsidRDefault="00000000" w:rsidRPr="00000000" w14:paraId="0000001A">
      <w:pPr>
        <w:numPr>
          <w:ilvl w:val="1"/>
          <w:numId w:val="5"/>
        </w:numPr>
        <w:ind w:left="1200" w:hanging="360"/>
        <w:rPr/>
      </w:pPr>
      <w:r w:rsidDel="00000000" w:rsidR="00000000" w:rsidRPr="00000000">
        <w:rPr>
          <w:b w:val="1"/>
          <w:rtl w:val="0"/>
        </w:rPr>
        <w:t xml:space="preserve">Tri-Party General Collateral Rate (TGCR):</w:t>
      </w:r>
      <w:r w:rsidDel="00000000" w:rsidR="00000000" w:rsidRPr="00000000">
        <w:rPr>
          <w:rtl w:val="0"/>
        </w:rPr>
        <w:t xml:space="preserve"> This rate covers specific-counterparty tri-party repo transactions where a clearing bank acts as an intermediary.</w:t>
      </w:r>
    </w:p>
    <w:p w:rsidR="00000000" w:rsidDel="00000000" w:rsidP="00000000" w:rsidRDefault="00000000" w:rsidRPr="00000000" w14:paraId="0000001B">
      <w:pPr>
        <w:numPr>
          <w:ilvl w:val="1"/>
          <w:numId w:val="5"/>
        </w:numPr>
        <w:ind w:left="1200" w:hanging="360"/>
        <w:rPr/>
      </w:pPr>
      <w:r w:rsidDel="00000000" w:rsidR="00000000" w:rsidRPr="00000000">
        <w:rPr>
          <w:b w:val="1"/>
          <w:rtl w:val="0"/>
        </w:rPr>
        <w:t xml:space="preserve">Broad General Collateral Rate (BGCR):</w:t>
      </w:r>
      <w:r w:rsidDel="00000000" w:rsidR="00000000" w:rsidRPr="00000000">
        <w:rPr>
          <w:rtl w:val="0"/>
        </w:rPr>
        <w:t xml:space="preserve"> This rate includes all transactions in the TGCR plus blind-brokered general collateral trades cleared through the Fixed Income Clearing Corporation's (FICC) GCF Repo service.</w:t>
      </w:r>
    </w:p>
    <w:p w:rsidR="00000000" w:rsidDel="00000000" w:rsidP="00000000" w:rsidRDefault="00000000" w:rsidRPr="00000000" w14:paraId="0000001C">
      <w:pPr>
        <w:numPr>
          <w:ilvl w:val="1"/>
          <w:numId w:val="5"/>
        </w:numPr>
        <w:ind w:left="1200" w:hanging="360"/>
        <w:rPr/>
      </w:pPr>
      <w:r w:rsidDel="00000000" w:rsidR="00000000" w:rsidRPr="00000000">
        <w:rPr>
          <w:b w:val="1"/>
          <w:rtl w:val="0"/>
        </w:rPr>
        <w:t xml:space="preserve">SOFR:</w:t>
      </w:r>
      <w:r w:rsidDel="00000000" w:rsidR="00000000" w:rsidRPr="00000000">
        <w:rPr>
          <w:rtl w:val="0"/>
        </w:rPr>
        <w:t xml:space="preserve"> The final SOFR calculation includes all transactions in the BGCR </w:t>
      </w:r>
      <w:r w:rsidDel="00000000" w:rsidR="00000000" w:rsidRPr="00000000">
        <w:rPr>
          <w:i w:val="1"/>
          <w:rtl w:val="0"/>
        </w:rPr>
        <w:t xml:space="preserve">plus</w:t>
      </w:r>
      <w:r w:rsidDel="00000000" w:rsidR="00000000" w:rsidRPr="00000000">
        <w:rPr>
          <w:rtl w:val="0"/>
        </w:rPr>
        <w:t xml:space="preserve"> bilateral Treasury repo transactions cleared through FICC's Delivery-versus-Payment (DVP) service. This comprehensive construction makes SOFR a robust and reliable indicator of conditions in the core U.S. Treasury repo market.</w:t>
      </w:r>
    </w:p>
    <w:p w:rsidR="00000000" w:rsidDel="00000000" w:rsidP="00000000" w:rsidRDefault="00000000" w:rsidRPr="00000000" w14:paraId="0000001D">
      <w:pPr>
        <w:rPr/>
      </w:pPr>
      <w:r w:rsidDel="00000000" w:rsidR="00000000" w:rsidRPr="00000000">
        <w:rPr>
          <w:rtl w:val="0"/>
        </w:rPr>
        <w:t xml:space="preserve">The spread between secured and unsecured rates is a powerful, real-time barometer of perceived risk in the financial system. In normal market conditions, arbitrage ensures these rates move closely together, with unsecured rates like EFFR and OBFR trading at a small, stable premium to the secured SOFR to compensate lenders for taking on interbank credit risk. During periods of financial stress, however, this relationship breaks down. As concerns about counterparty solvency rise, lenders shift their activity away from the unsecured market and toward the safety of the collateralized repo market. This "flight to quality" causes demand for repo to surge while liquidity in the fed funds market evaporates. Consequently, the spread between EFFR/OBFR and SOFR widens dramatically. This widening is not merely a statistical artifact; it is a direct, quantifiable signal of increasing fear and counterparty risk at the heart of the banking system, often preceding broader market dislocations.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Mar>
              <w:top w:w="0.0" w:type="dxa"/>
              <w:left w:w="0.0" w:type="dxa"/>
              <w:bottom w:w="0.0" w:type="dxa"/>
              <w:right w:w="0.0" w:type="dxa"/>
            </w:tcMar>
          </w:tcPr>
          <w:p w:rsidR="00000000" w:rsidDel="00000000" w:rsidP="00000000" w:rsidRDefault="00000000" w:rsidRPr="00000000" w14:paraId="0000001E">
            <w:pPr>
              <w:rPr/>
            </w:pPr>
            <w:r w:rsidDel="00000000" w:rsidR="00000000" w:rsidRPr="00000000">
              <w:rPr>
                <w:rtl w:val="0"/>
              </w:rPr>
              <w:t xml:space="preserve">Rate Name</w:t>
            </w:r>
          </w:p>
        </w:tc>
        <w:tc>
          <w:tcPr>
            <w:tcMar>
              <w:top w:w="0.0" w:type="dxa"/>
              <w:left w:w="0.0" w:type="dxa"/>
              <w:bottom w:w="0.0" w:type="dxa"/>
              <w:right w:w="0.0" w:type="dxa"/>
            </w:tcMar>
          </w:tcPr>
          <w:p w:rsidR="00000000" w:rsidDel="00000000" w:rsidP="00000000" w:rsidRDefault="00000000" w:rsidRPr="00000000" w14:paraId="0000001F">
            <w:pPr>
              <w:rPr/>
            </w:pPr>
            <w:r w:rsidDel="00000000" w:rsidR="00000000" w:rsidRPr="00000000">
              <w:rPr>
                <w:rtl w:val="0"/>
              </w:rPr>
              <w:t xml:space="preserve">Type</w:t>
            </w:r>
          </w:p>
        </w:tc>
        <w:tc>
          <w:tcPr>
            <w:tcMar>
              <w:top w:w="0.0" w:type="dxa"/>
              <w:left w:w="0.0" w:type="dxa"/>
              <w:bottom w:w="0.0" w:type="dxa"/>
              <w:right w:w="0.0" w:type="dxa"/>
            </w:tcMar>
          </w:tcPr>
          <w:p w:rsidR="00000000" w:rsidDel="00000000" w:rsidP="00000000" w:rsidRDefault="00000000" w:rsidRPr="00000000" w14:paraId="00000020">
            <w:pPr>
              <w:rPr/>
            </w:pPr>
            <w:r w:rsidDel="00000000" w:rsidR="00000000" w:rsidRPr="00000000">
              <w:rPr>
                <w:rtl w:val="0"/>
              </w:rPr>
              <w:t xml:space="preserve">Composition</w:t>
            </w:r>
          </w:p>
        </w:tc>
        <w:tc>
          <w:tcPr>
            <w:tcMar>
              <w:top w:w="0.0" w:type="dxa"/>
              <w:left w:w="0.0" w:type="dxa"/>
              <w:bottom w:w="0.0" w:type="dxa"/>
              <w:right w:w="0.0" w:type="dxa"/>
            </w:tcMar>
          </w:tcPr>
          <w:p w:rsidR="00000000" w:rsidDel="00000000" w:rsidP="00000000" w:rsidRDefault="00000000" w:rsidRPr="00000000" w14:paraId="00000021">
            <w:pPr>
              <w:rPr/>
            </w:pPr>
            <w:r w:rsidDel="00000000" w:rsidR="00000000" w:rsidRPr="00000000">
              <w:rPr>
                <w:rtl w:val="0"/>
              </w:rPr>
              <w:t xml:space="preserve">Collateral</w:t>
            </w:r>
          </w:p>
        </w:tc>
        <w:tc>
          <w:tcPr>
            <w:tcMar>
              <w:top w:w="0.0" w:type="dxa"/>
              <w:left w:w="0.0" w:type="dxa"/>
              <w:bottom w:w="0.0" w:type="dxa"/>
              <w:right w:w="0.0" w:type="dxa"/>
            </w:tcMar>
          </w:tcPr>
          <w:p w:rsidR="00000000" w:rsidDel="00000000" w:rsidP="00000000" w:rsidRDefault="00000000" w:rsidRPr="00000000" w14:paraId="00000022">
            <w:pPr>
              <w:rPr/>
            </w:pPr>
            <w:r w:rsidDel="00000000" w:rsidR="00000000" w:rsidRPr="00000000">
              <w:rPr>
                <w:rtl w:val="0"/>
              </w:rPr>
              <w:t xml:space="preserve">Calculation Method</w:t>
            </w:r>
          </w:p>
        </w:tc>
        <w:tc>
          <w:tcPr>
            <w:tcMar>
              <w:top w:w="0.0" w:type="dxa"/>
              <w:left w:w="0.0" w:type="dxa"/>
              <w:bottom w:w="0.0" w:type="dxa"/>
              <w:right w:w="0.0" w:type="dxa"/>
            </w:tcMar>
          </w:tcPr>
          <w:p w:rsidR="00000000" w:rsidDel="00000000" w:rsidP="00000000" w:rsidRDefault="00000000" w:rsidRPr="00000000" w14:paraId="00000023">
            <w:pPr>
              <w:rPr/>
            </w:pPr>
            <w:r w:rsidDel="00000000" w:rsidR="00000000" w:rsidRPr="00000000">
              <w:rPr>
                <w:rtl w:val="0"/>
              </w:rPr>
              <w:t xml:space="preserve">Primary Significance</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24">
            <w:pPr>
              <w:rPr>
                <w:b w:val="1"/>
              </w:rPr>
            </w:pPr>
            <w:r w:rsidDel="00000000" w:rsidR="00000000" w:rsidRPr="00000000">
              <w:rPr>
                <w:b w:val="1"/>
                <w:rtl w:val="0"/>
              </w:rPr>
              <w:t xml:space="preserve">EFFR</w:t>
            </w:r>
          </w:p>
        </w:tc>
        <w:tc>
          <w:tcPr>
            <w:tcMar>
              <w:top w:w="0.0" w:type="dxa"/>
              <w:left w:w="0.0" w:type="dxa"/>
              <w:bottom w:w="0.0" w:type="dxa"/>
              <w:right w:w="0.0" w:type="dxa"/>
            </w:tcMar>
          </w:tcPr>
          <w:p w:rsidR="00000000" w:rsidDel="00000000" w:rsidP="00000000" w:rsidRDefault="00000000" w:rsidRPr="00000000" w14:paraId="00000025">
            <w:pPr>
              <w:rPr/>
            </w:pPr>
            <w:r w:rsidDel="00000000" w:rsidR="00000000" w:rsidRPr="00000000">
              <w:rPr>
                <w:rtl w:val="0"/>
              </w:rPr>
              <w:t xml:space="preserve">Unsecured</w:t>
            </w:r>
          </w:p>
        </w:tc>
        <w:tc>
          <w:tcPr>
            <w:tcMar>
              <w:top w:w="0.0" w:type="dxa"/>
              <w:left w:w="0.0" w:type="dxa"/>
              <w:bottom w:w="0.0" w:type="dxa"/>
              <w:right w:w="0.0" w:type="dxa"/>
            </w:tcMar>
          </w:tcPr>
          <w:p w:rsidR="00000000" w:rsidDel="00000000" w:rsidP="00000000" w:rsidRDefault="00000000" w:rsidRPr="00000000" w14:paraId="00000026">
            <w:pPr>
              <w:rPr/>
            </w:pPr>
            <w:r w:rsidDel="00000000" w:rsidR="00000000" w:rsidRPr="00000000">
              <w:rPr>
                <w:rtl w:val="0"/>
              </w:rPr>
              <w:t xml:space="preserve">Overnight loans between depository institutions</w:t>
            </w:r>
          </w:p>
        </w:tc>
        <w:tc>
          <w:tcPr>
            <w:tcMar>
              <w:top w:w="0.0" w:type="dxa"/>
              <w:left w:w="0.0" w:type="dxa"/>
              <w:bottom w:w="0.0" w:type="dxa"/>
              <w:right w:w="0.0" w:type="dxa"/>
            </w:tcMar>
          </w:tcPr>
          <w:p w:rsidR="00000000" w:rsidDel="00000000" w:rsidP="00000000" w:rsidRDefault="00000000" w:rsidRPr="00000000" w14:paraId="00000027">
            <w:pPr>
              <w:rPr/>
            </w:pPr>
            <w:r w:rsidDel="00000000" w:rsidR="00000000" w:rsidRPr="00000000">
              <w:rPr>
                <w:rtl w:val="0"/>
              </w:rPr>
              <w:t xml:space="preserve">None</w:t>
            </w:r>
          </w:p>
        </w:tc>
        <w:tc>
          <w:tcPr>
            <w:tcMar>
              <w:top w:w="0.0" w:type="dxa"/>
              <w:left w:w="0.0" w:type="dxa"/>
              <w:bottom w:w="0.0" w:type="dxa"/>
              <w:right w:w="0.0" w:type="dxa"/>
            </w:tcMar>
          </w:tcPr>
          <w:p w:rsidR="00000000" w:rsidDel="00000000" w:rsidP="00000000" w:rsidRDefault="00000000" w:rsidRPr="00000000" w14:paraId="00000028">
            <w:pPr>
              <w:rPr/>
            </w:pPr>
            <w:r w:rsidDel="00000000" w:rsidR="00000000" w:rsidRPr="00000000">
              <w:rPr>
                <w:rtl w:val="0"/>
              </w:rPr>
              <w:t xml:space="preserve">Volume-Weighted Median</w:t>
            </w:r>
          </w:p>
        </w:tc>
        <w:tc>
          <w:tcPr>
            <w:tcMar>
              <w:top w:w="0.0" w:type="dxa"/>
              <w:left w:w="0.0" w:type="dxa"/>
              <w:bottom w:w="0.0" w:type="dxa"/>
              <w:right w:w="0.0" w:type="dxa"/>
            </w:tcMar>
          </w:tcPr>
          <w:p w:rsidR="00000000" w:rsidDel="00000000" w:rsidP="00000000" w:rsidRDefault="00000000" w:rsidRPr="00000000" w14:paraId="00000029">
            <w:pPr>
              <w:rPr/>
            </w:pPr>
            <w:r w:rsidDel="00000000" w:rsidR="00000000" w:rsidRPr="00000000">
              <w:rPr>
                <w:rtl w:val="0"/>
              </w:rPr>
              <w:t xml:space="preserve">The Fed's primary policy rate target; measure of interbank credit risk.</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2A">
            <w:pPr>
              <w:rPr>
                <w:b w:val="1"/>
              </w:rPr>
            </w:pPr>
            <w:r w:rsidDel="00000000" w:rsidR="00000000" w:rsidRPr="00000000">
              <w:rPr>
                <w:b w:val="1"/>
                <w:rtl w:val="0"/>
              </w:rPr>
              <w:t xml:space="preserve">OBFR</w:t>
            </w:r>
          </w:p>
        </w:tc>
        <w:tc>
          <w:tcPr>
            <w:tcMar>
              <w:top w:w="0.0" w:type="dxa"/>
              <w:left w:w="0.0" w:type="dxa"/>
              <w:bottom w:w="0.0" w:type="dxa"/>
              <w:right w:w="0.0" w:type="dxa"/>
            </w:tcMar>
          </w:tcPr>
          <w:p w:rsidR="00000000" w:rsidDel="00000000" w:rsidP="00000000" w:rsidRDefault="00000000" w:rsidRPr="00000000" w14:paraId="0000002B">
            <w:pPr>
              <w:rPr/>
            </w:pPr>
            <w:r w:rsidDel="00000000" w:rsidR="00000000" w:rsidRPr="00000000">
              <w:rPr>
                <w:rtl w:val="0"/>
              </w:rPr>
              <w:t xml:space="preserve">Unsecured</w:t>
            </w:r>
          </w:p>
        </w:tc>
        <w:tc>
          <w:tcPr>
            <w:tcMar>
              <w:top w:w="0.0" w:type="dxa"/>
              <w:left w:w="0.0" w:type="dxa"/>
              <w:bottom w:w="0.0" w:type="dxa"/>
              <w:right w:w="0.0" w:type="dxa"/>
            </w:tcMar>
          </w:tcPr>
          <w:p w:rsidR="00000000" w:rsidDel="00000000" w:rsidP="00000000" w:rsidRDefault="00000000" w:rsidRPr="00000000" w14:paraId="0000002C">
            <w:pPr>
              <w:rPr/>
            </w:pPr>
            <w:r w:rsidDel="00000000" w:rsidR="00000000" w:rsidRPr="00000000">
              <w:rPr>
                <w:rtl w:val="0"/>
              </w:rPr>
              <w:t xml:space="preserve">EFFR transactions + Eurodollar transactions + select domestic deposits</w:t>
            </w:r>
          </w:p>
        </w:tc>
        <w:tc>
          <w:tcPr>
            <w:tcMar>
              <w:top w:w="0.0" w:type="dxa"/>
              <w:left w:w="0.0" w:type="dxa"/>
              <w:bottom w:w="0.0" w:type="dxa"/>
              <w:right w:w="0.0" w:type="dxa"/>
            </w:tcMar>
          </w:tcPr>
          <w:p w:rsidR="00000000" w:rsidDel="00000000" w:rsidP="00000000" w:rsidRDefault="00000000" w:rsidRPr="00000000" w14:paraId="0000002D">
            <w:pPr>
              <w:rPr/>
            </w:pPr>
            <w:r w:rsidDel="00000000" w:rsidR="00000000" w:rsidRPr="00000000">
              <w:rPr>
                <w:rtl w:val="0"/>
              </w:rPr>
              <w:t xml:space="preserve">None</w:t>
            </w:r>
          </w:p>
        </w:tc>
        <w:tc>
          <w:tcPr>
            <w:tcMar>
              <w:top w:w="0.0" w:type="dxa"/>
              <w:left w:w="0.0" w:type="dxa"/>
              <w:bottom w:w="0.0" w:type="dxa"/>
              <w:right w:w="0.0" w:type="dxa"/>
            </w:tcMar>
          </w:tcPr>
          <w:p w:rsidR="00000000" w:rsidDel="00000000" w:rsidP="00000000" w:rsidRDefault="00000000" w:rsidRPr="00000000" w14:paraId="0000002E">
            <w:pPr>
              <w:rPr/>
            </w:pPr>
            <w:r w:rsidDel="00000000" w:rsidR="00000000" w:rsidRPr="00000000">
              <w:rPr>
                <w:rtl w:val="0"/>
              </w:rPr>
              <w:t xml:space="preserve">Volume-Weighted Median</w:t>
            </w:r>
          </w:p>
        </w:tc>
        <w:tc>
          <w:tcPr>
            <w:tcMar>
              <w:top w:w="0.0" w:type="dxa"/>
              <w:left w:w="0.0" w:type="dxa"/>
              <w:bottom w:w="0.0" w:type="dxa"/>
              <w:right w:w="0.0" w:type="dxa"/>
            </w:tcMar>
          </w:tcPr>
          <w:p w:rsidR="00000000" w:rsidDel="00000000" w:rsidP="00000000" w:rsidRDefault="00000000" w:rsidRPr="00000000" w14:paraId="0000002F">
            <w:pPr>
              <w:rPr/>
            </w:pPr>
            <w:r w:rsidDel="00000000" w:rsidR="00000000" w:rsidRPr="00000000">
              <w:rPr>
                <w:rtl w:val="0"/>
              </w:rPr>
              <w:t xml:space="preserve">Broader measure of wholesale bank funding costs; benchmark for sec lending.</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30">
            <w:pPr>
              <w:rPr>
                <w:b w:val="1"/>
              </w:rPr>
            </w:pPr>
            <w:r w:rsidDel="00000000" w:rsidR="00000000" w:rsidRPr="00000000">
              <w:rPr>
                <w:b w:val="1"/>
                <w:rtl w:val="0"/>
              </w:rPr>
              <w:t xml:space="preserve">SOFR</w:t>
            </w:r>
          </w:p>
        </w:tc>
        <w:tc>
          <w:tcPr>
            <w:tcMar>
              <w:top w:w="0.0" w:type="dxa"/>
              <w:left w:w="0.0" w:type="dxa"/>
              <w:bottom w:w="0.0" w:type="dxa"/>
              <w:right w:w="0.0" w:type="dxa"/>
            </w:tcMar>
          </w:tcPr>
          <w:p w:rsidR="00000000" w:rsidDel="00000000" w:rsidP="00000000" w:rsidRDefault="00000000" w:rsidRPr="00000000" w14:paraId="00000031">
            <w:pPr>
              <w:rPr/>
            </w:pPr>
            <w:r w:rsidDel="00000000" w:rsidR="00000000" w:rsidRPr="00000000">
              <w:rPr>
                <w:rtl w:val="0"/>
              </w:rPr>
              <w:t xml:space="preserve">Secured</w:t>
            </w:r>
          </w:p>
        </w:tc>
        <w:tc>
          <w:tcPr>
            <w:tcMar>
              <w:top w:w="0.0" w:type="dxa"/>
              <w:left w:w="0.0" w:type="dxa"/>
              <w:bottom w:w="0.0" w:type="dxa"/>
              <w:right w:w="0.0" w:type="dxa"/>
            </w:tcMar>
          </w:tcPr>
          <w:p w:rsidR="00000000" w:rsidDel="00000000" w:rsidP="00000000" w:rsidRDefault="00000000" w:rsidRPr="00000000" w14:paraId="00000032">
            <w:pPr>
              <w:rPr/>
            </w:pPr>
            <w:r w:rsidDel="00000000" w:rsidR="00000000" w:rsidRPr="00000000">
              <w:rPr>
                <w:rtl w:val="0"/>
              </w:rPr>
              <w:t xml:space="preserve">Broad measure of overnight Treasury repo transactions</w:t>
            </w:r>
          </w:p>
        </w:tc>
        <w:tc>
          <w:tcPr>
            <w:tcMar>
              <w:top w:w="0.0" w:type="dxa"/>
              <w:left w:w="0.0" w:type="dxa"/>
              <w:bottom w:w="0.0" w:type="dxa"/>
              <w:right w:w="0.0" w:type="dxa"/>
            </w:tcMar>
          </w:tcPr>
          <w:p w:rsidR="00000000" w:rsidDel="00000000" w:rsidP="00000000" w:rsidRDefault="00000000" w:rsidRPr="00000000" w14:paraId="00000033">
            <w:pPr>
              <w:rPr/>
            </w:pPr>
            <w:r w:rsidDel="00000000" w:rsidR="00000000" w:rsidRPr="00000000">
              <w:rPr>
                <w:rtl w:val="0"/>
              </w:rPr>
              <w:t xml:space="preserve">U.S. Treasury Securities</w:t>
            </w:r>
          </w:p>
        </w:tc>
        <w:tc>
          <w:tcPr>
            <w:tcMar>
              <w:top w:w="0.0" w:type="dxa"/>
              <w:left w:w="0.0" w:type="dxa"/>
              <w:bottom w:w="0.0" w:type="dxa"/>
              <w:right w:w="0.0" w:type="dxa"/>
            </w:tcMar>
          </w:tcPr>
          <w:p w:rsidR="00000000" w:rsidDel="00000000" w:rsidP="00000000" w:rsidRDefault="00000000" w:rsidRPr="00000000" w14:paraId="00000034">
            <w:pPr>
              <w:rPr/>
            </w:pPr>
            <w:r w:rsidDel="00000000" w:rsidR="00000000" w:rsidRPr="00000000">
              <w:rPr>
                <w:rtl w:val="0"/>
              </w:rPr>
              <w:t xml:space="preserve">Volume-Weighted Median</w:t>
            </w:r>
          </w:p>
        </w:tc>
        <w:tc>
          <w:tcPr>
            <w:tcMar>
              <w:top w:w="0.0" w:type="dxa"/>
              <w:left w:w="0.0" w:type="dxa"/>
              <w:bottom w:w="0.0" w:type="dxa"/>
              <w:right w:w="0.0" w:type="dxa"/>
            </w:tcMar>
          </w:tcPr>
          <w:p w:rsidR="00000000" w:rsidDel="00000000" w:rsidP="00000000" w:rsidRDefault="00000000" w:rsidRPr="00000000" w14:paraId="00000035">
            <w:pPr>
              <w:rPr/>
            </w:pPr>
            <w:r w:rsidDel="00000000" w:rsidR="00000000" w:rsidRPr="00000000">
              <w:rPr>
                <w:rtl w:val="0"/>
              </w:rPr>
              <w:t xml:space="preserve">Broadest measure of Treasury financing cost; primary LIBOR replacement.</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36">
            <w:pPr>
              <w:rPr>
                <w:b w:val="1"/>
              </w:rPr>
            </w:pPr>
            <w:r w:rsidDel="00000000" w:rsidR="00000000" w:rsidRPr="00000000">
              <w:rPr>
                <w:b w:val="1"/>
                <w:rtl w:val="0"/>
              </w:rPr>
              <w:t xml:space="preserve">TGCR</w:t>
            </w:r>
          </w:p>
        </w:tc>
        <w:tc>
          <w:tcPr>
            <w:tcMar>
              <w:top w:w="0.0" w:type="dxa"/>
              <w:left w:w="0.0" w:type="dxa"/>
              <w:bottom w:w="0.0" w:type="dxa"/>
              <w:right w:w="0.0" w:type="dxa"/>
            </w:tcMar>
          </w:tcPr>
          <w:p w:rsidR="00000000" w:rsidDel="00000000" w:rsidP="00000000" w:rsidRDefault="00000000" w:rsidRPr="00000000" w14:paraId="00000037">
            <w:pPr>
              <w:rPr/>
            </w:pPr>
            <w:r w:rsidDel="00000000" w:rsidR="00000000" w:rsidRPr="00000000">
              <w:rPr>
                <w:rtl w:val="0"/>
              </w:rPr>
              <w:t xml:space="preserve">Secured</w:t>
            </w:r>
          </w:p>
        </w:tc>
        <w:tc>
          <w:tcPr>
            <w:tcMar>
              <w:top w:w="0.0" w:type="dxa"/>
              <w:left w:w="0.0" w:type="dxa"/>
              <w:bottom w:w="0.0" w:type="dxa"/>
              <w:right w:w="0.0" w:type="dxa"/>
            </w:tcMar>
          </w:tcPr>
          <w:p w:rsidR="00000000" w:rsidDel="00000000" w:rsidP="00000000" w:rsidRDefault="00000000" w:rsidRPr="00000000" w14:paraId="00000038">
            <w:pPr>
              <w:rPr/>
            </w:pPr>
            <w:r w:rsidDel="00000000" w:rsidR="00000000" w:rsidRPr="00000000">
              <w:rPr>
                <w:rtl w:val="0"/>
              </w:rPr>
              <w:t xml:space="preserve">Tri-party general collateral repo transactions</w:t>
            </w:r>
          </w:p>
        </w:tc>
        <w:tc>
          <w:tcPr>
            <w:tcMar>
              <w:top w:w="0.0" w:type="dxa"/>
              <w:left w:w="0.0" w:type="dxa"/>
              <w:bottom w:w="0.0" w:type="dxa"/>
              <w:right w:w="0.0" w:type="dxa"/>
            </w:tcMar>
          </w:tcPr>
          <w:p w:rsidR="00000000" w:rsidDel="00000000" w:rsidP="00000000" w:rsidRDefault="00000000" w:rsidRPr="00000000" w14:paraId="00000039">
            <w:pPr>
              <w:rPr/>
            </w:pPr>
            <w:r w:rsidDel="00000000" w:rsidR="00000000" w:rsidRPr="00000000">
              <w:rPr>
                <w:rtl w:val="0"/>
              </w:rPr>
              <w:t xml:space="preserve">U.S. Treasury Securities</w:t>
            </w:r>
          </w:p>
        </w:tc>
        <w:tc>
          <w:tcPr>
            <w:tcMar>
              <w:top w:w="0.0" w:type="dxa"/>
              <w:left w:w="0.0" w:type="dxa"/>
              <w:bottom w:w="0.0" w:type="dxa"/>
              <w:right w:w="0.0" w:type="dxa"/>
            </w:tcMar>
          </w:tcPr>
          <w:p w:rsidR="00000000" w:rsidDel="00000000" w:rsidP="00000000" w:rsidRDefault="00000000" w:rsidRPr="00000000" w14:paraId="0000003A">
            <w:pPr>
              <w:rPr/>
            </w:pPr>
            <w:r w:rsidDel="00000000" w:rsidR="00000000" w:rsidRPr="00000000">
              <w:rPr>
                <w:rtl w:val="0"/>
              </w:rPr>
              <w:t xml:space="preserve">Volume-Weighted Median</w:t>
            </w:r>
          </w:p>
        </w:tc>
        <w:tc>
          <w:tcPr>
            <w:tcMar>
              <w:top w:w="0.0" w:type="dxa"/>
              <w:left w:w="0.0" w:type="dxa"/>
              <w:bottom w:w="0.0" w:type="dxa"/>
              <w:right w:w="0.0" w:type="dxa"/>
            </w:tcMar>
          </w:tcPr>
          <w:p w:rsidR="00000000" w:rsidDel="00000000" w:rsidP="00000000" w:rsidRDefault="00000000" w:rsidRPr="00000000" w14:paraId="0000003B">
            <w:pPr>
              <w:rPr/>
            </w:pPr>
            <w:r w:rsidDel="00000000" w:rsidR="00000000" w:rsidRPr="00000000">
              <w:rPr>
                <w:rtl w:val="0"/>
              </w:rPr>
              <w:t xml:space="preserve">A component of SOFR reflecting the tri-party market segment.</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3C">
            <w:pPr>
              <w:rPr>
                <w:b w:val="1"/>
              </w:rPr>
            </w:pPr>
            <w:r w:rsidDel="00000000" w:rsidR="00000000" w:rsidRPr="00000000">
              <w:rPr>
                <w:b w:val="1"/>
                <w:rtl w:val="0"/>
              </w:rPr>
              <w:t xml:space="preserve">BGCR</w:t>
            </w:r>
          </w:p>
        </w:tc>
        <w:tc>
          <w:tcPr>
            <w:tcMar>
              <w:top w:w="0.0" w:type="dxa"/>
              <w:left w:w="0.0" w:type="dxa"/>
              <w:bottom w:w="0.0" w:type="dxa"/>
              <w:right w:w="0.0" w:type="dxa"/>
            </w:tcMar>
          </w:tcPr>
          <w:p w:rsidR="00000000" w:rsidDel="00000000" w:rsidP="00000000" w:rsidRDefault="00000000" w:rsidRPr="00000000" w14:paraId="0000003D">
            <w:pPr>
              <w:rPr/>
            </w:pPr>
            <w:r w:rsidDel="00000000" w:rsidR="00000000" w:rsidRPr="00000000">
              <w:rPr>
                <w:rtl w:val="0"/>
              </w:rPr>
              <w:t xml:space="preserve">Secured</w:t>
            </w:r>
          </w:p>
        </w:tc>
        <w:tc>
          <w:tcPr>
            <w:tcMar>
              <w:top w:w="0.0" w:type="dxa"/>
              <w:left w:w="0.0" w:type="dxa"/>
              <w:bottom w:w="0.0" w:type="dxa"/>
              <w:right w:w="0.0" w:type="dxa"/>
            </w:tcMar>
          </w:tcPr>
          <w:p w:rsidR="00000000" w:rsidDel="00000000" w:rsidP="00000000" w:rsidRDefault="00000000" w:rsidRPr="00000000" w14:paraId="0000003E">
            <w:pPr>
              <w:rPr/>
            </w:pPr>
            <w:r w:rsidDel="00000000" w:rsidR="00000000" w:rsidRPr="00000000">
              <w:rPr>
                <w:rtl w:val="0"/>
              </w:rPr>
              <w:t xml:space="preserve">TGCR transactions + GCF Repo transactions</w:t>
            </w:r>
          </w:p>
        </w:tc>
        <w:tc>
          <w:tcPr>
            <w:tcMar>
              <w:top w:w="0.0" w:type="dxa"/>
              <w:left w:w="0.0" w:type="dxa"/>
              <w:bottom w:w="0.0" w:type="dxa"/>
              <w:right w:w="0.0" w:type="dxa"/>
            </w:tcMar>
          </w:tcPr>
          <w:p w:rsidR="00000000" w:rsidDel="00000000" w:rsidP="00000000" w:rsidRDefault="00000000" w:rsidRPr="00000000" w14:paraId="0000003F">
            <w:pPr>
              <w:rPr/>
            </w:pPr>
            <w:r w:rsidDel="00000000" w:rsidR="00000000" w:rsidRPr="00000000">
              <w:rPr>
                <w:rtl w:val="0"/>
              </w:rPr>
              <w:t xml:space="preserve">U.S. Treasury Securities</w:t>
            </w:r>
          </w:p>
        </w:tc>
        <w:tc>
          <w:tcPr>
            <w:tcMar>
              <w:top w:w="0.0" w:type="dxa"/>
              <w:left w:w="0.0" w:type="dxa"/>
              <w:bottom w:w="0.0" w:type="dxa"/>
              <w:right w:w="0.0" w:type="dxa"/>
            </w:tcMar>
          </w:tcPr>
          <w:p w:rsidR="00000000" w:rsidDel="00000000" w:rsidP="00000000" w:rsidRDefault="00000000" w:rsidRPr="00000000" w14:paraId="00000040">
            <w:pPr>
              <w:rPr/>
            </w:pPr>
            <w:r w:rsidDel="00000000" w:rsidR="00000000" w:rsidRPr="00000000">
              <w:rPr>
                <w:rtl w:val="0"/>
              </w:rPr>
              <w:t xml:space="preserve">Volume-Weighted Median</w:t>
            </w:r>
          </w:p>
        </w:tc>
        <w:tc>
          <w:tcPr>
            <w:tcMar>
              <w:top w:w="0.0" w:type="dxa"/>
              <w:left w:w="0.0" w:type="dxa"/>
              <w:bottom w:w="0.0" w:type="dxa"/>
              <w:right w:w="0.0" w:type="dxa"/>
            </w:tcMar>
          </w:tcPr>
          <w:p w:rsidR="00000000" w:rsidDel="00000000" w:rsidP="00000000" w:rsidRDefault="00000000" w:rsidRPr="00000000" w14:paraId="00000041">
            <w:pPr>
              <w:rPr/>
            </w:pPr>
            <w:r w:rsidDel="00000000" w:rsidR="00000000" w:rsidRPr="00000000">
              <w:rPr>
                <w:rtl w:val="0"/>
              </w:rPr>
              <w:t xml:space="preserve">A component of SOFR reflecting a wider segment of cleared repo.</w:t>
            </w:r>
          </w:p>
        </w:tc>
      </w:tr>
    </w:tbl>
    <w:p w:rsidR="00000000" w:rsidDel="00000000" w:rsidP="00000000" w:rsidRDefault="00000000" w:rsidRPr="00000000" w14:paraId="00000042">
      <w:pPr>
        <w:pStyle w:val="Heading3"/>
        <w:rPr/>
      </w:pPr>
      <w:r w:rsidDel="00000000" w:rsidR="00000000" w:rsidRPr="00000000">
        <w:rPr>
          <w:rtl w:val="0"/>
        </w:rPr>
        <w:t xml:space="preserve">Chapter 3: The Twin Engines of Securities Finance: Repo vs. Securities Lending</w:t>
      </w:r>
    </w:p>
    <w:p w:rsidR="00000000" w:rsidDel="00000000" w:rsidP="00000000" w:rsidRDefault="00000000" w:rsidRPr="00000000" w14:paraId="00000043">
      <w:pPr>
        <w:spacing w:after="255" w:lineRule="auto"/>
        <w:rPr/>
      </w:pPr>
      <w:r w:rsidDel="00000000" w:rsidR="00000000" w:rsidRPr="00000000">
        <w:rPr>
          <w:rtl w:val="0"/>
        </w:rPr>
        <w:t xml:space="preserve">Securities Financing Transactions (SFTs) are the primary mechanisms for borrowing and lending cash and securities in modern financial markets. While repurchase agreements (repo) and securities lending are often discussed separately, they are functionally similar and deeply interconnected. Both are economically equivalent to collateralized loans and serve as the twin engines that power leverage, hedging, and market-making activities.</w:t>
      </w:r>
    </w:p>
    <w:p w:rsidR="00000000" w:rsidDel="00000000" w:rsidP="00000000" w:rsidRDefault="00000000" w:rsidRPr="00000000" w14:paraId="00000044">
      <w:pPr>
        <w:pStyle w:val="Heading4"/>
        <w:spacing w:before="0" w:lineRule="auto"/>
        <w:rPr/>
      </w:pPr>
      <w:r w:rsidDel="00000000" w:rsidR="00000000" w:rsidRPr="00000000">
        <w:rPr>
          <w:rtl w:val="0"/>
        </w:rPr>
        <w:t xml:space="preserve">Repurchase Agreements (Repo)</w:t>
      </w:r>
    </w:p>
    <w:p w:rsidR="00000000" w:rsidDel="00000000" w:rsidP="00000000" w:rsidRDefault="00000000" w:rsidRPr="00000000" w14:paraId="00000045">
      <w:pPr>
        <w:rPr/>
      </w:pPr>
      <w:r w:rsidDel="00000000" w:rsidR="00000000" w:rsidRPr="00000000">
        <w:rPr>
          <w:rtl w:val="0"/>
        </w:rPr>
        <w:t xml:space="preserve">A repurchase agreement is the sale of a security combined with a simultaneous agreement to repurchase the same security at a specified higher price at a future date. The price difference represents the interest on what is effectively a short-term, collateralized loan. The repo market is a cornerstone of the money markets, used extensively by dealers to finance their inventories of fixed-income securities and by a wide range of institutions for short-term borrowing and lending of cash.</w:t>
      </w:r>
    </w:p>
    <w:p w:rsidR="00000000" w:rsidDel="00000000" w:rsidP="00000000" w:rsidRDefault="00000000" w:rsidRPr="00000000" w14:paraId="00000046">
      <w:pPr>
        <w:rPr/>
      </w:pPr>
      <w:r w:rsidDel="00000000" w:rsidR="00000000" w:rsidRPr="00000000">
        <w:rPr>
          <w:rtl w:val="0"/>
        </w:rPr>
        <w:t xml:space="preserve">The key parameters of any repo trade are the principal amount, the interest rate (repo rate), the type of eligible collateral, the haircut, the tenor (maturity), and the counterparties involved. The haircut is the amount of over-collateralization required by the cash lender, expressed as a percentage difference between the market value of the collateral and the cash lent (e.g., a 2% haircut means $98 is lent against $100 of collateral). It reflects the perceived riskiness of the collateral and the creditworthiness of the borrower.</w:t>
      </w:r>
    </w:p>
    <w:p w:rsidR="00000000" w:rsidDel="00000000" w:rsidP="00000000" w:rsidRDefault="00000000" w:rsidRPr="00000000" w14:paraId="00000047">
      <w:pPr>
        <w:rPr/>
      </w:pPr>
      <w:r w:rsidDel="00000000" w:rsidR="00000000" w:rsidRPr="00000000">
        <w:rPr>
          <w:rtl w:val="0"/>
        </w:rPr>
        <w:t xml:space="preserve">The U.S. repo market is broadly divided into two segments based on how trades are settled:</w:t>
      </w:r>
    </w:p>
    <w:p w:rsidR="00000000" w:rsidDel="00000000" w:rsidP="00000000" w:rsidRDefault="00000000" w:rsidRPr="00000000" w14:paraId="00000048">
      <w:pPr>
        <w:numPr>
          <w:ilvl w:val="0"/>
          <w:numId w:val="6"/>
        </w:numPr>
        <w:ind w:left="600" w:hanging="360"/>
        <w:rPr/>
      </w:pPr>
      <w:r w:rsidDel="00000000" w:rsidR="00000000" w:rsidRPr="00000000">
        <w:rPr>
          <w:b w:val="1"/>
          <w:rtl w:val="0"/>
        </w:rPr>
        <w:t xml:space="preserve">Tri-party Repo:</w:t>
      </w:r>
      <w:r w:rsidDel="00000000" w:rsidR="00000000" w:rsidRPr="00000000">
        <w:rPr>
          <w:rtl w:val="0"/>
        </w:rPr>
        <w:t xml:space="preserve"> In this segment, a third-party clearing bank (in the U.S., primarily BNY Mellon or JPMorgan Chase) acts as an intermediary, providing collateral management and settlement services. This structure is operationally efficient and is heavily used by MMFs to lend cash to dealers.</w:t>
      </w:r>
    </w:p>
    <w:p w:rsidR="00000000" w:rsidDel="00000000" w:rsidP="00000000" w:rsidRDefault="00000000" w:rsidRPr="00000000" w14:paraId="00000049">
      <w:pPr>
        <w:numPr>
          <w:ilvl w:val="0"/>
          <w:numId w:val="6"/>
        </w:numPr>
        <w:ind w:left="600" w:hanging="360"/>
        <w:rPr/>
      </w:pPr>
      <w:r w:rsidDel="00000000" w:rsidR="00000000" w:rsidRPr="00000000">
        <w:rPr>
          <w:b w:val="1"/>
          <w:rtl w:val="0"/>
        </w:rPr>
        <w:t xml:space="preserve">Bilateral Repo:</w:t>
      </w:r>
      <w:r w:rsidDel="00000000" w:rsidR="00000000" w:rsidRPr="00000000">
        <w:rPr>
          <w:rtl w:val="0"/>
        </w:rPr>
        <w:t xml:space="preserve"> In this segment, the two counterparties arrange the exchange of cash and collateral directly, with settlement occurring on a delivery-versus-payment basis through their respective custodian banks. This segment allows for more customized terms and is often used for sourcing specific securities.</w:t>
      </w:r>
    </w:p>
    <w:p w:rsidR="00000000" w:rsidDel="00000000" w:rsidP="00000000" w:rsidRDefault="00000000" w:rsidRPr="00000000" w14:paraId="0000004A">
      <w:pPr>
        <w:pStyle w:val="Heading4"/>
        <w:rPr/>
      </w:pPr>
      <w:r w:rsidDel="00000000" w:rsidR="00000000" w:rsidRPr="00000000">
        <w:rPr>
          <w:rtl w:val="0"/>
        </w:rPr>
        <w:t xml:space="preserve">Securities Lending</w:t>
      </w:r>
    </w:p>
    <w:p w:rsidR="00000000" w:rsidDel="00000000" w:rsidP="00000000" w:rsidRDefault="00000000" w:rsidRPr="00000000" w14:paraId="0000004B">
      <w:pPr>
        <w:rPr/>
      </w:pPr>
      <w:r w:rsidDel="00000000" w:rsidR="00000000" w:rsidRPr="00000000">
        <w:rPr>
          <w:rtl w:val="0"/>
        </w:rPr>
        <w:t xml:space="preserve">A securities lending transaction is a temporary loan of a security from a lender to a borrower. In return, the borrower provides the lender with collateral—either cash or other securities—and pays a lending fee. When cash is posted as collateral, the lender typically pays a portion of the interest earned on that cash back to the borrower; this is known as the "rebate rate". Securities lending is the primary mechanism for obtaining specific securities, often equities, to facilitate strategies such as short-selling, hedging, or to avoid settlement failures.</w:t>
      </w:r>
    </w:p>
    <w:p w:rsidR="00000000" w:rsidDel="00000000" w:rsidP="00000000" w:rsidRDefault="00000000" w:rsidRPr="00000000" w14:paraId="0000004C">
      <w:pPr>
        <w:spacing w:after="255" w:lineRule="auto"/>
        <w:rPr/>
      </w:pPr>
      <w:r w:rsidDel="00000000" w:rsidR="00000000" w:rsidRPr="00000000">
        <w:rPr>
          <w:rtl w:val="0"/>
        </w:rPr>
        <w:t xml:space="preserve">The market is dominated by large agent lenders, typically custodian banks, who manage lending programs on behalf of beneficial owners such as pension funds, insurance companies, and mutual funds. The primary borrowers are securities dealers and hedge funds. Regulations typically require that the collateral posted must be worth at least 100% of the value of the loaned securities, with a standard of 102% for domestic equities and 105% for international equities to buffer against price fluctuations.</w:t>
      </w:r>
    </w:p>
    <w:p w:rsidR="00000000" w:rsidDel="00000000" w:rsidP="00000000" w:rsidRDefault="00000000" w:rsidRPr="00000000" w14:paraId="0000004D">
      <w:pPr>
        <w:pStyle w:val="Heading4"/>
        <w:spacing w:before="0" w:lineRule="auto"/>
        <w:rPr/>
      </w:pPr>
      <w:r w:rsidDel="00000000" w:rsidR="00000000" w:rsidRPr="00000000">
        <w:rPr>
          <w:rtl w:val="0"/>
        </w:rPr>
        <w:t xml:space="preserve">The Critical Linkage: Cash Collateral Reinvestment</w:t>
      </w:r>
    </w:p>
    <w:p w:rsidR="00000000" w:rsidDel="00000000" w:rsidP="00000000" w:rsidRDefault="00000000" w:rsidRPr="00000000" w14:paraId="0000004E">
      <w:pPr>
        <w:rPr/>
      </w:pPr>
      <w:r w:rsidDel="00000000" w:rsidR="00000000" w:rsidRPr="00000000">
        <w:rPr>
          <w:rtl w:val="0"/>
        </w:rPr>
        <w:t xml:space="preserve">The most direct and significant link between the repo and securities lending markets is the practice of cash collateral reinvestment. When an agent lender receives cash as collateral in a securities loan, that cash is not left idle. It is typically invested in short-term, low-risk instruments to generate a return, which is then shared between the beneficial owner and the agent lender. A primary destination for this cash is the repo market, where the agent lender acts as a cash provider, lending to dealers against high-quality collateral.</w:t>
      </w:r>
    </w:p>
    <w:p w:rsidR="00000000" w:rsidDel="00000000" w:rsidP="00000000" w:rsidRDefault="00000000" w:rsidRPr="00000000" w14:paraId="0000004F">
      <w:pPr>
        <w:rPr/>
      </w:pPr>
      <w:r w:rsidDel="00000000" w:rsidR="00000000" w:rsidRPr="00000000">
        <w:rPr>
          <w:rtl w:val="0"/>
        </w:rPr>
        <w:t xml:space="preserve">This creates a symbiotic and potentially fragile relationship. The securities lending market becomes a major source of cash funding for the repo market, while the repo market provides the yield that makes cash-collateralized securities lending profitable. This interconnection forms a critical contagion channel. A disruption in the repo market—such as a sudden spike in rates or a withdrawal of liquidity—can inflict losses on the cash collateral reinvestment pools managed by agent lenders. Such losses could force these agents to curtail their securities lending activities or demand higher fees to compensate for the increased risk. This, in turn, would reduce the supply of lendable securities, impacting the ability of hedge funds and market makers to execute their strategies. Consequently, stress in the repo market (a "funding" market) can transmit directly to and cause stress in the securities lending market (a "securities sourcing" market), and vice versa. Monitoring the health of the repo market is therefore an essential prerequisite for anticipating risks in securities lending.</w:t>
      </w:r>
    </w:p>
    <w:p w:rsidR="00000000" w:rsidDel="00000000" w:rsidP="00000000" w:rsidRDefault="00000000" w:rsidRPr="00000000" w14:paraId="00000050">
      <w:pPr>
        <w:spacing w:after="225" w:lineRule="auto"/>
        <w:rPr/>
      </w:pPr>
      <w:r w:rsidDel="00000000" w:rsidR="00000000" w:rsidRPr="00000000">
        <w:rPr>
          <w:rtl w:val="0"/>
        </w:rPr>
        <w:t xml:space="preserve">Furthermore, the distinction between "cash-driven" and "security-driven" transactions provides a powerful analytical lens. A cash-driven repo, where the goal is to borrow money, typically uses "general collateral" (GC), and its rate reflects the general cost of secured funding. In contrast, a security-driven transaction, where the goal is to borrow a </w:t>
      </w:r>
      <w:r w:rsidDel="00000000" w:rsidR="00000000" w:rsidRPr="00000000">
        <w:rPr>
          <w:i w:val="1"/>
          <w:rtl w:val="0"/>
        </w:rPr>
        <w:t xml:space="preserve">specific</w:t>
      </w:r>
      <w:r w:rsidDel="00000000" w:rsidR="00000000" w:rsidRPr="00000000">
        <w:rPr>
          <w:rtl w:val="0"/>
        </w:rPr>
        <w:t xml:space="preserve"> security, results in that security trading "on special". The repo rate for a special security will be lower than the GC rate, reflecting the high demand for that particular asset. The difference between the GC rate and the special repo rate is known as the "specialness spread." This spread is, in effect, an </w:t>
      </w:r>
      <w:r w:rsidDel="00000000" w:rsidR="00000000" w:rsidRPr="00000000">
        <w:rPr>
          <w:i w:val="1"/>
          <w:rtl w:val="0"/>
        </w:rPr>
        <w:t xml:space="preserve">implicit securities borrowing fee</w:t>
      </w:r>
      <w:r w:rsidDel="00000000" w:rsidR="00000000" w:rsidRPr="00000000">
        <w:rPr>
          <w:rtl w:val="0"/>
        </w:rPr>
        <w:t xml:space="preserve"> determined by the high-frequency repo market. As securities lending is almost always driven by the demand for specific securities, the specialness spread in the repo market serves as a direct, market-driven leading indicator for the explicit fees charged in the securities lending market.</w:t>
      </w:r>
    </w:p>
    <w:p w:rsidR="00000000" w:rsidDel="00000000" w:rsidP="00000000" w:rsidRDefault="00000000" w:rsidRPr="00000000" w14:paraId="00000051">
      <w:pPr>
        <w:pStyle w:val="Heading2"/>
        <w:spacing w:before="0" w:lineRule="auto"/>
        <w:rPr/>
      </w:pPr>
      <w:r w:rsidDel="00000000" w:rsidR="00000000" w:rsidRPr="00000000">
        <w:rPr>
          <w:rtl w:val="0"/>
        </w:rPr>
        <w:t xml:space="preserve">Part II: The Central Bank's Footprint: The Federal Reserve in the Modern Era</w:t>
      </w:r>
    </w:p>
    <w:p w:rsidR="00000000" w:rsidDel="00000000" w:rsidP="00000000" w:rsidRDefault="00000000" w:rsidRPr="00000000" w14:paraId="00000052">
      <w:pPr>
        <w:spacing w:after="240" w:lineRule="auto"/>
        <w:rPr/>
      </w:pPr>
      <w:r w:rsidDel="00000000" w:rsidR="00000000" w:rsidRPr="00000000">
        <w:rPr>
          <w:rtl w:val="0"/>
        </w:rPr>
        <w:t xml:space="preserve">To comprehend the dynamics of modern money markets, one must first understand the actions and operational framework of its most influential participant: the Federal Reserve. The Fed's balance sheet is not a static accounting statement but a dynamic record of its interventions, which directly determine the aggregate level of liquidity in the financial system. Its policy tools, having evolved significantly since the 2008 financial crisis, now operate under an "ample reserves" regime that shapes the behavior of all short-term interest rates.</w:t>
      </w:r>
    </w:p>
    <w:p w:rsidR="00000000" w:rsidDel="00000000" w:rsidP="00000000" w:rsidRDefault="00000000" w:rsidRPr="00000000" w14:paraId="00000053">
      <w:pPr>
        <w:pStyle w:val="Heading3"/>
        <w:spacing w:before="0" w:lineRule="auto"/>
        <w:rPr/>
      </w:pPr>
      <w:r w:rsidDel="00000000" w:rsidR="00000000" w:rsidRPr="00000000">
        <w:rPr>
          <w:rtl w:val="0"/>
        </w:rPr>
        <w:t xml:space="preserve">Chapter 4: Decoding the Federal Reserve's Balance Sheet</w:t>
      </w:r>
    </w:p>
    <w:p w:rsidR="00000000" w:rsidDel="00000000" w:rsidP="00000000" w:rsidRDefault="00000000" w:rsidRPr="00000000" w14:paraId="00000054">
      <w:pPr>
        <w:spacing w:after="255" w:lineRule="auto"/>
        <w:rPr/>
      </w:pPr>
      <w:r w:rsidDel="00000000" w:rsidR="00000000" w:rsidRPr="00000000">
        <w:rPr>
          <w:rtl w:val="0"/>
        </w:rPr>
        <w:t xml:space="preserve">The Federal Reserve's balance sheet, published weekly in the H.4.1 statistical release, provides a transparent view of its assets and liabilities. A disciplined analysis of this report allows market participants to track the flows of liquidity into and out of the private financial system. The balance sheet adheres to the fundamental accounting identity: Assets = Liabilities + Capital.</w:t>
      </w:r>
    </w:p>
    <w:p w:rsidR="00000000" w:rsidDel="00000000" w:rsidP="00000000" w:rsidRDefault="00000000" w:rsidRPr="00000000" w14:paraId="00000055">
      <w:pPr>
        <w:pStyle w:val="Heading4"/>
        <w:spacing w:before="0" w:lineRule="auto"/>
        <w:rPr/>
      </w:pPr>
      <w:r w:rsidDel="00000000" w:rsidR="00000000" w:rsidRPr="00000000">
        <w:rPr>
          <w:rtl w:val="0"/>
        </w:rPr>
        <w:t xml:space="preserve">The Assets Side: The Fed's Market Footprint</w:t>
      </w:r>
    </w:p>
    <w:p w:rsidR="00000000" w:rsidDel="00000000" w:rsidP="00000000" w:rsidRDefault="00000000" w:rsidRPr="00000000" w14:paraId="00000056">
      <w:pPr>
        <w:rPr/>
      </w:pPr>
      <w:r w:rsidDel="00000000" w:rsidR="00000000" w:rsidRPr="00000000">
        <w:rPr>
          <w:rtl w:val="0"/>
        </w:rPr>
        <w:t xml:space="preserve">The asset side of the Fed's balance sheet primarily reflects the securities it has purchased through open market operations. The size and composition of these assets are the main drivers of the balance sheet's overall size and the level of liquidity in the banking system.</w:t>
      </w:r>
    </w:p>
    <w:p w:rsidR="00000000" w:rsidDel="00000000" w:rsidP="00000000" w:rsidRDefault="00000000" w:rsidRPr="00000000" w14:paraId="00000057">
      <w:pPr>
        <w:numPr>
          <w:ilvl w:val="0"/>
          <w:numId w:val="7"/>
        </w:numPr>
        <w:ind w:left="600" w:hanging="360"/>
        <w:rPr/>
      </w:pPr>
      <w:r w:rsidDel="00000000" w:rsidR="00000000" w:rsidRPr="00000000">
        <w:rPr>
          <w:b w:val="1"/>
          <w:rtl w:val="0"/>
        </w:rPr>
        <w:t xml:space="preserve">Treasury Securities and Mortgage-Backed Securities (MBS):</w:t>
      </w:r>
      <w:r w:rsidDel="00000000" w:rsidR="00000000" w:rsidRPr="00000000">
        <w:rPr>
          <w:rtl w:val="0"/>
        </w:rPr>
        <w:t xml:space="preserve"> These are the largest asset categories on the Fed's balance sheet, accounting for trillions of dollars. These securities are held in the System Open Market Account (SOMA) and were acquired through both traditional open market operations and large-scale asset purchase programs, commonly known as quantitative easing (QE). When the Fed purchases a security from a primary dealer, it pays for it by crediting the dealer's bank with an equivalent amount of reserves, thereby injecting liquidity into the system.</w:t>
      </w:r>
    </w:p>
    <w:p w:rsidR="00000000" w:rsidDel="00000000" w:rsidP="00000000" w:rsidRDefault="00000000" w:rsidRPr="00000000" w14:paraId="00000058">
      <w:pPr>
        <w:numPr>
          <w:ilvl w:val="0"/>
          <w:numId w:val="7"/>
        </w:numPr>
        <w:ind w:left="600" w:hanging="360"/>
        <w:rPr/>
      </w:pPr>
      <w:r w:rsidDel="00000000" w:rsidR="00000000" w:rsidRPr="00000000">
        <w:rPr>
          <w:b w:val="1"/>
          <w:rtl w:val="0"/>
        </w:rPr>
        <w:t xml:space="preserve">Lending Facilities:</w:t>
      </w:r>
      <w:r w:rsidDel="00000000" w:rsidR="00000000" w:rsidRPr="00000000">
        <w:rPr>
          <w:rtl w:val="0"/>
        </w:rPr>
        <w:t xml:space="preserve"> This category includes loans extended to financial institutions. These can be loans made through the traditional discount window or through repurchase agreements conducted as part of the Fed's open market operations, including the Standing Repo Facility (SRF).</w:t>
      </w:r>
    </w:p>
    <w:p w:rsidR="00000000" w:rsidDel="00000000" w:rsidP="00000000" w:rsidRDefault="00000000" w:rsidRPr="00000000" w14:paraId="00000059">
      <w:pPr>
        <w:pStyle w:val="Heading4"/>
        <w:rPr/>
      </w:pPr>
      <w:r w:rsidDel="00000000" w:rsidR="00000000" w:rsidRPr="00000000">
        <w:rPr>
          <w:rtl w:val="0"/>
        </w:rPr>
        <w:t xml:space="preserve">The Liabilities Side: The System's Liquidity and Its Drains</w:t>
      </w:r>
    </w:p>
    <w:p w:rsidR="00000000" w:rsidDel="00000000" w:rsidP="00000000" w:rsidRDefault="00000000" w:rsidRPr="00000000" w14:paraId="0000005A">
      <w:pPr>
        <w:rPr/>
      </w:pPr>
      <w:r w:rsidDel="00000000" w:rsidR="00000000" w:rsidRPr="00000000">
        <w:rPr>
          <w:rtl w:val="0"/>
        </w:rPr>
        <w:t xml:space="preserve">The liabilities side of the balance sheet reveals how the Fed's assets are financed and represents the various claims on the central bank. The interplay between these liabilities determines the ultimate level of reserves available to the banking system.</w:t>
      </w:r>
    </w:p>
    <w:p w:rsidR="00000000" w:rsidDel="00000000" w:rsidP="00000000" w:rsidRDefault="00000000" w:rsidRPr="00000000" w14:paraId="0000005B">
      <w:pPr>
        <w:numPr>
          <w:ilvl w:val="0"/>
          <w:numId w:val="8"/>
        </w:numPr>
        <w:ind w:left="600" w:hanging="360"/>
        <w:rPr/>
      </w:pPr>
      <w:r w:rsidDel="00000000" w:rsidR="00000000" w:rsidRPr="00000000">
        <w:rPr>
          <w:b w:val="1"/>
          <w:rtl w:val="0"/>
        </w:rPr>
        <w:t xml:space="preserve">Federal Reserve Notes (Currency in Circulation):</w:t>
      </w:r>
      <w:r w:rsidDel="00000000" w:rsidR="00000000" w:rsidRPr="00000000">
        <w:rPr>
          <w:rtl w:val="0"/>
        </w:rPr>
        <w:t xml:space="preserve"> Physical currency held by the public is a liability of the Federal Reserve. When a bank's customer withdraws cash, the bank obtains that currency from the Fed, and its reserve account is debited. Thus, an increase in currency in circulation acts as a structural drain on bank reserves.</w:t>
      </w:r>
    </w:p>
    <w:p w:rsidR="00000000" w:rsidDel="00000000" w:rsidP="00000000" w:rsidRDefault="00000000" w:rsidRPr="00000000" w14:paraId="0000005C">
      <w:pPr>
        <w:numPr>
          <w:ilvl w:val="0"/>
          <w:numId w:val="8"/>
        </w:numPr>
        <w:ind w:left="600" w:hanging="360"/>
        <w:rPr/>
      </w:pPr>
      <w:r w:rsidDel="00000000" w:rsidR="00000000" w:rsidRPr="00000000">
        <w:rPr>
          <w:b w:val="1"/>
          <w:rtl w:val="0"/>
        </w:rPr>
        <w:t xml:space="preserve">Bank Reserves:</w:t>
      </w:r>
      <w:r w:rsidDel="00000000" w:rsidR="00000000" w:rsidRPr="00000000">
        <w:rPr>
          <w:rtl w:val="0"/>
        </w:rPr>
        <w:t xml:space="preserve"> This is the most critical liability for understanding money market dynamics. Reserves are the deposits held by commercial banks in their accounts at the Federal Reserve. They are used to settle payments between banks and to meet reserve requirements (though requirements are currently set to zero). The aggregate level of reserves is a direct measure of the liquidity available within the banking system. Reserves are created when the Fed purchases an asset and are destroyed when an asset matures or is sold.</w:t>
      </w:r>
    </w:p>
    <w:p w:rsidR="00000000" w:rsidDel="00000000" w:rsidP="00000000" w:rsidRDefault="00000000" w:rsidRPr="00000000" w14:paraId="0000005D">
      <w:pPr>
        <w:numPr>
          <w:ilvl w:val="0"/>
          <w:numId w:val="8"/>
        </w:numPr>
        <w:ind w:left="600" w:hanging="360"/>
        <w:rPr/>
      </w:pPr>
      <w:r w:rsidDel="00000000" w:rsidR="00000000" w:rsidRPr="00000000">
        <w:rPr>
          <w:b w:val="1"/>
          <w:rtl w:val="0"/>
        </w:rPr>
        <w:t xml:space="preserve">Overnight Reverse Repo (ON RRP) Facility:</w:t>
      </w:r>
      <w:r w:rsidDel="00000000" w:rsidR="00000000" w:rsidRPr="00000000">
        <w:rPr>
          <w:rtl w:val="0"/>
        </w:rPr>
        <w:t xml:space="preserve"> This facility allows eligible counterparties, primarily money market funds, to place cash with the Fed overnight, collateralized by Treasury securities from the SOMA portfolio. These balances represent a liability for the Fed and are a key tool for controlling short-term interest rates. From a liquidity perspective, an increase in the usage of the ON RRP facility represents a temporary drain of cash from the private financial system into the central bank's balance sheet.</w:t>
      </w:r>
    </w:p>
    <w:p w:rsidR="00000000" w:rsidDel="00000000" w:rsidP="00000000" w:rsidRDefault="00000000" w:rsidRPr="00000000" w14:paraId="0000005E">
      <w:pPr>
        <w:numPr>
          <w:ilvl w:val="0"/>
          <w:numId w:val="8"/>
        </w:numPr>
        <w:ind w:left="600" w:hanging="360"/>
        <w:rPr/>
      </w:pPr>
      <w:r w:rsidDel="00000000" w:rsidR="00000000" w:rsidRPr="00000000">
        <w:rPr>
          <w:b w:val="1"/>
          <w:rtl w:val="0"/>
        </w:rPr>
        <w:t xml:space="preserve">Treasury General Account (TGA):</w:t>
      </w:r>
      <w:r w:rsidDel="00000000" w:rsidR="00000000" w:rsidRPr="00000000">
        <w:rPr>
          <w:rtl w:val="0"/>
        </w:rPr>
        <w:t xml:space="preserve"> This is the operational checking account of the U.S. Treasury, held at the Federal Reserve. When the Treasury receives funds (e.g., from tax payments or bond sales), the balance in the TGA increases, and the reserves of the commercial banks from which those funds were drawn decrease. Conversely, when the Treasury makes payments (e.g., for social security or government salaries), the TGA balance falls, and bank reserves increase. The TGA thus acts as a significant, and often volatile, factor that drains or adds reserves to the system.</w:t>
      </w:r>
    </w:p>
    <w:p w:rsidR="00000000" w:rsidDel="00000000" w:rsidP="00000000" w:rsidRDefault="00000000" w:rsidRPr="00000000" w14:paraId="0000005F">
      <w:pPr>
        <w:spacing w:after="240" w:lineRule="auto"/>
        <w:rPr/>
      </w:pPr>
      <w:r w:rsidDel="00000000" w:rsidR="00000000" w:rsidRPr="00000000">
        <w:rPr>
          <w:rtl w:val="0"/>
        </w:rPr>
        <w:t xml:space="preserve">Because the Fed's balance sheet must always balance, the level of bank reserves acts as the residual variable. This relationship can be summarized in a simple but powerful "liquidity equation": $$ \Delta \text{Bank Reserves} \approx \Delta \text{Fed Assets} - \Delta \text{ON RRP} - \Delta \text{TGA} - \Delta \text{Currency} $$ This equation demonstrates that the level of bank reserves is determined by the interaction of Fed policy (changes in assets), money market fund behavior (changes in ON RRP usage), and fiscal operations (changes in the TGA). By tracking the weekly changes in the H.4.1 release for each of these components, an analyst can construct a real-time model of the net injection or withdrawal of liquidity from the banking system. This provides a forward-looking view of funding conditions. For instance, as highlighted in market commentary, a resolution to a debt ceiling impasse can lead to a rapid rebuilding of the TGA balance as the Treasury issues a flood of new bills. This action, independent of any Fed policy change, acts as a massive drain on reserves, tightening financial conditions and potentially causing stress in funding markets.</w:t>
      </w:r>
    </w:p>
    <w:p w:rsidR="00000000" w:rsidDel="00000000" w:rsidP="00000000" w:rsidRDefault="00000000" w:rsidRPr="00000000" w14:paraId="00000060">
      <w:pPr>
        <w:pStyle w:val="Heading3"/>
        <w:spacing w:before="0" w:lineRule="auto"/>
        <w:rPr/>
      </w:pPr>
      <w:r w:rsidDel="00000000" w:rsidR="00000000" w:rsidRPr="00000000">
        <w:rPr>
          <w:rtl w:val="0"/>
        </w:rPr>
        <w:t xml:space="preserve">Chapter 5: The New Toolkit for Monetary Policy Implementation</w:t>
      </w:r>
    </w:p>
    <w:p w:rsidR="00000000" w:rsidDel="00000000" w:rsidP="00000000" w:rsidRDefault="00000000" w:rsidRPr="00000000" w14:paraId="00000061">
      <w:pPr>
        <w:spacing w:after="255" w:lineRule="auto"/>
        <w:rPr/>
      </w:pPr>
      <w:r w:rsidDel="00000000" w:rsidR="00000000" w:rsidRPr="00000000">
        <w:rPr>
          <w:rtl w:val="0"/>
        </w:rPr>
        <w:t xml:space="preserve">The 2008 financial crisis and the subsequent implementation of QE fundamentally altered the environment in which the Federal Reserve conducts monetary policy. The massive expansion of the Fed's balance sheet created a system awash in bank reserves. This shift necessitated a move away from the traditional "limited reserves" framework, where the Fed fine-tuned the supply of scarce reserves to influence the fed funds rate, to an "ample reserves" or "floor" system, where the Fed controls interest rates by setting administered rates on its liabilities.</w:t>
      </w:r>
    </w:p>
    <w:p w:rsidR="00000000" w:rsidDel="00000000" w:rsidP="00000000" w:rsidRDefault="00000000" w:rsidRPr="00000000" w14:paraId="00000062">
      <w:pPr>
        <w:pStyle w:val="Heading4"/>
        <w:spacing w:before="0" w:lineRule="auto"/>
        <w:rPr/>
      </w:pPr>
      <w:r w:rsidDel="00000000" w:rsidR="00000000" w:rsidRPr="00000000">
        <w:rPr>
          <w:rtl w:val="0"/>
        </w:rPr>
        <w:t xml:space="preserve">The Ample Reserves Framework</w:t>
      </w:r>
    </w:p>
    <w:p w:rsidR="00000000" w:rsidDel="00000000" w:rsidP="00000000" w:rsidRDefault="00000000" w:rsidRPr="00000000" w14:paraId="00000063">
      <w:pPr>
        <w:rPr/>
      </w:pPr>
      <w:r w:rsidDel="00000000" w:rsidR="00000000" w:rsidRPr="00000000">
        <w:rPr>
          <w:rtl w:val="0"/>
        </w:rPr>
        <w:t xml:space="preserve">In an ample reserves regime, the supply of reserves is so large that it intersects the flat portion of the demand curve for reserves. In this environment, small changes in the supply of reserves do not materially affect the market-determined federal funds rate. Instead, the Fed steers the EFFR by adjusting its administered rates, which act as a floor and ceiling, creating a policy corridor within which overnight rates trade.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Mar>
              <w:top w:w="0.0" w:type="dxa"/>
              <w:left w:w="0.0" w:type="dxa"/>
              <w:bottom w:w="0.0" w:type="dxa"/>
              <w:right w:w="0.0" w:type="dxa"/>
            </w:tcMar>
          </w:tcPr>
          <w:p w:rsidR="00000000" w:rsidDel="00000000" w:rsidP="00000000" w:rsidRDefault="00000000" w:rsidRPr="00000000" w14:paraId="00000064">
            <w:pPr>
              <w:rPr/>
            </w:pPr>
            <w:r w:rsidDel="00000000" w:rsidR="00000000" w:rsidRPr="00000000">
              <w:rPr>
                <w:rtl w:val="0"/>
              </w:rPr>
              <w:t xml:space="preserve">Policy Tool</w:t>
            </w:r>
          </w:p>
        </w:tc>
        <w:tc>
          <w:tcPr>
            <w:tcMar>
              <w:top w:w="0.0" w:type="dxa"/>
              <w:left w:w="0.0" w:type="dxa"/>
              <w:bottom w:w="0.0" w:type="dxa"/>
              <w:right w:w="0.0" w:type="dxa"/>
            </w:tcMar>
          </w:tcPr>
          <w:p w:rsidR="00000000" w:rsidDel="00000000" w:rsidP="00000000" w:rsidRDefault="00000000" w:rsidRPr="00000000" w14:paraId="00000065">
            <w:pPr>
              <w:rPr/>
            </w:pPr>
            <w:r w:rsidDel="00000000" w:rsidR="00000000" w:rsidRPr="00000000">
              <w:rPr>
                <w:rtl w:val="0"/>
              </w:rPr>
              <w:t xml:space="preserve">Purpose</w:t>
            </w:r>
          </w:p>
        </w:tc>
        <w:tc>
          <w:tcPr>
            <w:tcMar>
              <w:top w:w="0.0" w:type="dxa"/>
              <w:left w:w="0.0" w:type="dxa"/>
              <w:bottom w:w="0.0" w:type="dxa"/>
              <w:right w:w="0.0" w:type="dxa"/>
            </w:tcMar>
          </w:tcPr>
          <w:p w:rsidR="00000000" w:rsidDel="00000000" w:rsidP="00000000" w:rsidRDefault="00000000" w:rsidRPr="00000000" w14:paraId="00000066">
            <w:pPr>
              <w:rPr/>
            </w:pPr>
            <w:r w:rsidDel="00000000" w:rsidR="00000000" w:rsidRPr="00000000">
              <w:rPr>
                <w:rtl w:val="0"/>
              </w:rPr>
              <w:t xml:space="preserve">Eligible Counterparties</w:t>
            </w:r>
          </w:p>
        </w:tc>
        <w:tc>
          <w:tcPr>
            <w:tcMar>
              <w:top w:w="0.0" w:type="dxa"/>
              <w:left w:w="0.0" w:type="dxa"/>
              <w:bottom w:w="0.0" w:type="dxa"/>
              <w:right w:w="0.0" w:type="dxa"/>
            </w:tcMar>
          </w:tcPr>
          <w:p w:rsidR="00000000" w:rsidDel="00000000" w:rsidP="00000000" w:rsidRDefault="00000000" w:rsidRPr="00000000" w14:paraId="00000067">
            <w:pPr>
              <w:rPr/>
            </w:pPr>
            <w:r w:rsidDel="00000000" w:rsidR="00000000" w:rsidRPr="00000000">
              <w:rPr>
                <w:rtl w:val="0"/>
              </w:rPr>
              <w:t xml:space="preserve">Market Impact</w:t>
            </w:r>
          </w:p>
        </w:tc>
        <w:tc>
          <w:tcPr>
            <w:tcMar>
              <w:top w:w="0.0" w:type="dxa"/>
              <w:left w:w="0.0" w:type="dxa"/>
              <w:bottom w:w="0.0" w:type="dxa"/>
              <w:right w:w="0.0" w:type="dxa"/>
            </w:tcMar>
          </w:tcPr>
          <w:p w:rsidR="00000000" w:rsidDel="00000000" w:rsidP="00000000" w:rsidRDefault="00000000" w:rsidRPr="00000000" w14:paraId="00000068">
            <w:pPr>
              <w:rPr/>
            </w:pPr>
            <w:r w:rsidDel="00000000" w:rsidR="00000000" w:rsidRPr="00000000">
              <w:rPr>
                <w:rtl w:val="0"/>
              </w:rPr>
              <w:t xml:space="preserve">Role in Policy Corridor</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69">
            <w:pPr>
              <w:rPr>
                <w:b w:val="1"/>
              </w:rPr>
            </w:pPr>
            <w:r w:rsidDel="00000000" w:rsidR="00000000" w:rsidRPr="00000000">
              <w:rPr>
                <w:b w:val="1"/>
                <w:rtl w:val="0"/>
              </w:rPr>
              <w:t xml:space="preserve">Interest on Reserve Balances (IORB)</w:t>
            </w:r>
          </w:p>
        </w:tc>
        <w:tc>
          <w:tcPr>
            <w:tcMar>
              <w:top w:w="0.0" w:type="dxa"/>
              <w:left w:w="0.0" w:type="dxa"/>
              <w:bottom w:w="0.0" w:type="dxa"/>
              <w:right w:w="0.0" w:type="dxa"/>
            </w:tcMar>
          </w:tcPr>
          <w:p w:rsidR="00000000" w:rsidDel="00000000" w:rsidP="00000000" w:rsidRDefault="00000000" w:rsidRPr="00000000" w14:paraId="0000006A">
            <w:pPr>
              <w:rPr/>
            </w:pPr>
            <w:r w:rsidDel="00000000" w:rsidR="00000000" w:rsidRPr="00000000">
              <w:rPr>
                <w:rtl w:val="0"/>
              </w:rPr>
              <w:t xml:space="preserve">Sets a reservation rate for banks, influencing their willingness to lend in private markets.</w:t>
            </w:r>
          </w:p>
        </w:tc>
        <w:tc>
          <w:tcPr>
            <w:tcMar>
              <w:top w:w="0.0" w:type="dxa"/>
              <w:left w:w="0.0" w:type="dxa"/>
              <w:bottom w:w="0.0" w:type="dxa"/>
              <w:right w:w="0.0" w:type="dxa"/>
            </w:tcMar>
          </w:tcPr>
          <w:p w:rsidR="00000000" w:rsidDel="00000000" w:rsidP="00000000" w:rsidRDefault="00000000" w:rsidRPr="00000000" w14:paraId="0000006B">
            <w:pPr>
              <w:rPr/>
            </w:pPr>
            <w:r w:rsidDel="00000000" w:rsidR="00000000" w:rsidRPr="00000000">
              <w:rPr>
                <w:rtl w:val="0"/>
              </w:rPr>
              <w:t xml:space="preserve">Depository Institutions</w:t>
            </w:r>
          </w:p>
        </w:tc>
        <w:tc>
          <w:tcPr>
            <w:tcMar>
              <w:top w:w="0.0" w:type="dxa"/>
              <w:left w:w="0.0" w:type="dxa"/>
              <w:bottom w:w="0.0" w:type="dxa"/>
              <w:right w:w="0.0" w:type="dxa"/>
            </w:tcMar>
          </w:tcPr>
          <w:p w:rsidR="00000000" w:rsidDel="00000000" w:rsidP="00000000" w:rsidRDefault="00000000" w:rsidRPr="00000000" w14:paraId="0000006C">
            <w:pPr>
              <w:rPr/>
            </w:pPr>
            <w:r w:rsidDel="00000000" w:rsidR="00000000" w:rsidRPr="00000000">
              <w:rPr>
                <w:rtl w:val="0"/>
              </w:rPr>
              <w:t xml:space="preserve">Acts as a soft ceiling for the EFFR.</w:t>
            </w:r>
          </w:p>
        </w:tc>
        <w:tc>
          <w:tcPr>
            <w:tcMar>
              <w:top w:w="0.0" w:type="dxa"/>
              <w:left w:w="0.0" w:type="dxa"/>
              <w:bottom w:w="0.0" w:type="dxa"/>
              <w:right w:w="0.0" w:type="dxa"/>
            </w:tcMar>
          </w:tcPr>
          <w:p w:rsidR="00000000" w:rsidDel="00000000" w:rsidP="00000000" w:rsidRDefault="00000000" w:rsidRPr="00000000" w14:paraId="0000006D">
            <w:pPr>
              <w:rPr/>
            </w:pPr>
            <w:r w:rsidDel="00000000" w:rsidR="00000000" w:rsidRPr="00000000">
              <w:rPr>
                <w:rtl w:val="0"/>
              </w:rPr>
              <w:t xml:space="preserve">Upper Bound</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6E">
            <w:pPr>
              <w:rPr>
                <w:b w:val="1"/>
              </w:rPr>
            </w:pPr>
            <w:r w:rsidDel="00000000" w:rsidR="00000000" w:rsidRPr="00000000">
              <w:rPr>
                <w:b w:val="1"/>
                <w:rtl w:val="0"/>
              </w:rPr>
              <w:t xml:space="preserve">Overnight Reverse Repo (ON RRP) Facility</w:t>
            </w:r>
          </w:p>
        </w:tc>
        <w:tc>
          <w:tcPr>
            <w:tcMar>
              <w:top w:w="0.0" w:type="dxa"/>
              <w:left w:w="0.0" w:type="dxa"/>
              <w:bottom w:w="0.0" w:type="dxa"/>
              <w:right w:w="0.0" w:type="dxa"/>
            </w:tcMar>
          </w:tcPr>
          <w:p w:rsidR="00000000" w:rsidDel="00000000" w:rsidP="00000000" w:rsidRDefault="00000000" w:rsidRPr="00000000" w14:paraId="0000006F">
            <w:pPr>
              <w:rPr/>
            </w:pPr>
            <w:r w:rsidDel="00000000" w:rsidR="00000000" w:rsidRPr="00000000">
              <w:rPr>
                <w:rtl w:val="0"/>
              </w:rPr>
              <w:t xml:space="preserve">Provides a risk-free investment alternative for non-bank cash lenders.</w:t>
            </w:r>
          </w:p>
        </w:tc>
        <w:tc>
          <w:tcPr>
            <w:tcMar>
              <w:top w:w="0.0" w:type="dxa"/>
              <w:left w:w="0.0" w:type="dxa"/>
              <w:bottom w:w="0.0" w:type="dxa"/>
              <w:right w:w="0.0" w:type="dxa"/>
            </w:tcMar>
          </w:tcPr>
          <w:p w:rsidR="00000000" w:rsidDel="00000000" w:rsidP="00000000" w:rsidRDefault="00000000" w:rsidRPr="00000000" w14:paraId="00000070">
            <w:pPr>
              <w:rPr/>
            </w:pPr>
            <w:r w:rsidDel="00000000" w:rsidR="00000000" w:rsidRPr="00000000">
              <w:rPr>
                <w:rtl w:val="0"/>
              </w:rPr>
              <w:t xml:space="preserve">Primary Dealers, MMFs, GSEs</w:t>
            </w:r>
          </w:p>
        </w:tc>
        <w:tc>
          <w:tcPr>
            <w:tcMar>
              <w:top w:w="0.0" w:type="dxa"/>
              <w:left w:w="0.0" w:type="dxa"/>
              <w:bottom w:w="0.0" w:type="dxa"/>
              <w:right w:w="0.0" w:type="dxa"/>
            </w:tcMar>
          </w:tcPr>
          <w:p w:rsidR="00000000" w:rsidDel="00000000" w:rsidP="00000000" w:rsidRDefault="00000000" w:rsidRPr="00000000" w14:paraId="00000071">
            <w:pPr>
              <w:rPr/>
            </w:pPr>
            <w:r w:rsidDel="00000000" w:rsidR="00000000" w:rsidRPr="00000000">
              <w:rPr>
                <w:rtl w:val="0"/>
              </w:rPr>
              <w:t xml:space="preserve">Acts as a hard floor for overnight secured rates like SOFR.</w:t>
            </w:r>
          </w:p>
        </w:tc>
        <w:tc>
          <w:tcPr>
            <w:tcMar>
              <w:top w:w="0.0" w:type="dxa"/>
              <w:left w:w="0.0" w:type="dxa"/>
              <w:bottom w:w="0.0" w:type="dxa"/>
              <w:right w:w="0.0" w:type="dxa"/>
            </w:tcMar>
          </w:tcPr>
          <w:p w:rsidR="00000000" w:rsidDel="00000000" w:rsidP="00000000" w:rsidRDefault="00000000" w:rsidRPr="00000000" w14:paraId="00000072">
            <w:pPr>
              <w:rPr/>
            </w:pPr>
            <w:r w:rsidDel="00000000" w:rsidR="00000000" w:rsidRPr="00000000">
              <w:rPr>
                <w:rtl w:val="0"/>
              </w:rPr>
              <w:t xml:space="preserve">Lower Bound / Floor</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73">
            <w:pPr>
              <w:rPr>
                <w:b w:val="1"/>
              </w:rPr>
            </w:pPr>
            <w:r w:rsidDel="00000000" w:rsidR="00000000" w:rsidRPr="00000000">
              <w:rPr>
                <w:b w:val="1"/>
                <w:rtl w:val="0"/>
              </w:rPr>
              <w:t xml:space="preserve">Standing Repo Facility (SRF)</w:t>
            </w:r>
          </w:p>
        </w:tc>
        <w:tc>
          <w:tcPr>
            <w:tcMar>
              <w:top w:w="0.0" w:type="dxa"/>
              <w:left w:w="0.0" w:type="dxa"/>
              <w:bottom w:w="0.0" w:type="dxa"/>
              <w:right w:w="0.0" w:type="dxa"/>
            </w:tcMar>
          </w:tcPr>
          <w:p w:rsidR="00000000" w:rsidDel="00000000" w:rsidP="00000000" w:rsidRDefault="00000000" w:rsidRPr="00000000" w14:paraId="00000074">
            <w:pPr>
              <w:rPr/>
            </w:pPr>
            <w:r w:rsidDel="00000000" w:rsidR="00000000" w:rsidRPr="00000000">
              <w:rPr>
                <w:rtl w:val="0"/>
              </w:rPr>
              <w:t xml:space="preserve">Acts as a backstop source of liquidity for dealers against high-quality collateral.</w:t>
            </w:r>
          </w:p>
        </w:tc>
        <w:tc>
          <w:tcPr>
            <w:tcMar>
              <w:top w:w="0.0" w:type="dxa"/>
              <w:left w:w="0.0" w:type="dxa"/>
              <w:bottom w:w="0.0" w:type="dxa"/>
              <w:right w:w="0.0" w:type="dxa"/>
            </w:tcMar>
          </w:tcPr>
          <w:p w:rsidR="00000000" w:rsidDel="00000000" w:rsidP="00000000" w:rsidRDefault="00000000" w:rsidRPr="00000000" w14:paraId="00000075">
            <w:pPr>
              <w:rPr/>
            </w:pPr>
            <w:r w:rsidDel="00000000" w:rsidR="00000000" w:rsidRPr="00000000">
              <w:rPr>
                <w:rtl w:val="0"/>
              </w:rPr>
              <w:t xml:space="preserve">Primary Dealers, Depository Institutions</w:t>
            </w:r>
          </w:p>
        </w:tc>
        <w:tc>
          <w:tcPr>
            <w:tcMar>
              <w:top w:w="0.0" w:type="dxa"/>
              <w:left w:w="0.0" w:type="dxa"/>
              <w:bottom w:w="0.0" w:type="dxa"/>
              <w:right w:w="0.0" w:type="dxa"/>
            </w:tcMar>
          </w:tcPr>
          <w:p w:rsidR="00000000" w:rsidDel="00000000" w:rsidP="00000000" w:rsidRDefault="00000000" w:rsidRPr="00000000" w14:paraId="00000076">
            <w:pPr>
              <w:rPr/>
            </w:pPr>
            <w:r w:rsidDel="00000000" w:rsidR="00000000" w:rsidRPr="00000000">
              <w:rPr>
                <w:rtl w:val="0"/>
              </w:rPr>
              <w:t xml:space="preserve">Designed to cap upward spikes in repo rates during stress events.</w:t>
            </w:r>
          </w:p>
        </w:tc>
        <w:tc>
          <w:tcPr>
            <w:tcMar>
              <w:top w:w="0.0" w:type="dxa"/>
              <w:left w:w="0.0" w:type="dxa"/>
              <w:bottom w:w="0.0" w:type="dxa"/>
              <w:right w:w="0.0" w:type="dxa"/>
            </w:tcMar>
          </w:tcPr>
          <w:p w:rsidR="00000000" w:rsidDel="00000000" w:rsidP="00000000" w:rsidRDefault="00000000" w:rsidRPr="00000000" w14:paraId="00000077">
            <w:pPr>
              <w:rPr/>
            </w:pPr>
            <w:r w:rsidDel="00000000" w:rsidR="00000000" w:rsidRPr="00000000">
              <w:rPr>
                <w:rtl w:val="0"/>
              </w:rPr>
              <w:t xml:space="preserve">Ceiling / Backstop</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78">
            <w:pPr>
              <w:rPr>
                <w:b w:val="1"/>
              </w:rPr>
            </w:pPr>
            <w:r w:rsidDel="00000000" w:rsidR="00000000" w:rsidRPr="00000000">
              <w:rPr>
                <w:b w:val="1"/>
                <w:rtl w:val="0"/>
              </w:rPr>
              <w:t xml:space="preserve">Discount Window</w:t>
            </w:r>
          </w:p>
        </w:tc>
        <w:tc>
          <w:tcPr>
            <w:tcMar>
              <w:top w:w="0.0" w:type="dxa"/>
              <w:left w:w="0.0" w:type="dxa"/>
              <w:bottom w:w="0.0" w:type="dxa"/>
              <w:right w:w="0.0" w:type="dxa"/>
            </w:tcMar>
          </w:tcPr>
          <w:p w:rsidR="00000000" w:rsidDel="00000000" w:rsidP="00000000" w:rsidRDefault="00000000" w:rsidRPr="00000000" w14:paraId="00000079">
            <w:pPr>
              <w:rPr/>
            </w:pPr>
            <w:r w:rsidDel="00000000" w:rsidR="00000000" w:rsidRPr="00000000">
              <w:rPr>
                <w:rtl w:val="0"/>
              </w:rPr>
              <w:t xml:space="preserve">Serves as a lender-of-last-resort facility for depository institutions.</w:t>
            </w:r>
          </w:p>
        </w:tc>
        <w:tc>
          <w:tcPr>
            <w:tcMar>
              <w:top w:w="0.0" w:type="dxa"/>
              <w:left w:w="0.0" w:type="dxa"/>
              <w:bottom w:w="0.0" w:type="dxa"/>
              <w:right w:w="0.0" w:type="dxa"/>
            </w:tcMar>
          </w:tcPr>
          <w:p w:rsidR="00000000" w:rsidDel="00000000" w:rsidP="00000000" w:rsidRDefault="00000000" w:rsidRPr="00000000" w14:paraId="0000007A">
            <w:pPr>
              <w:rPr/>
            </w:pPr>
            <w:r w:rsidDel="00000000" w:rsidR="00000000" w:rsidRPr="00000000">
              <w:rPr>
                <w:rtl w:val="0"/>
              </w:rPr>
              <w:t xml:space="preserve">Depository Institutions</w:t>
            </w:r>
          </w:p>
        </w:tc>
        <w:tc>
          <w:tcPr>
            <w:tcMar>
              <w:top w:w="0.0" w:type="dxa"/>
              <w:left w:w="0.0" w:type="dxa"/>
              <w:bottom w:w="0.0" w:type="dxa"/>
              <w:right w:w="0.0" w:type="dxa"/>
            </w:tcMar>
          </w:tcPr>
          <w:p w:rsidR="00000000" w:rsidDel="00000000" w:rsidP="00000000" w:rsidRDefault="00000000" w:rsidRPr="00000000" w14:paraId="0000007B">
            <w:pPr>
              <w:rPr/>
            </w:pPr>
            <w:r w:rsidDel="00000000" w:rsidR="00000000" w:rsidRPr="00000000">
              <w:rPr>
                <w:rtl w:val="0"/>
              </w:rPr>
              <w:t xml:space="preserve">Provides liquidity against a broad range of collateral to mitigate funding stress.</w:t>
            </w:r>
          </w:p>
        </w:tc>
        <w:tc>
          <w:tcPr>
            <w:tcMar>
              <w:top w:w="0.0" w:type="dxa"/>
              <w:left w:w="0.0" w:type="dxa"/>
              <w:bottom w:w="0.0" w:type="dxa"/>
              <w:right w:w="0.0" w:type="dxa"/>
            </w:tcMar>
          </w:tcPr>
          <w:p w:rsidR="00000000" w:rsidDel="00000000" w:rsidP="00000000" w:rsidRDefault="00000000" w:rsidRPr="00000000" w14:paraId="0000007C">
            <w:pPr>
              <w:rPr/>
            </w:pPr>
            <w:r w:rsidDel="00000000" w:rsidR="00000000" w:rsidRPr="00000000">
              <w:rPr>
                <w:rtl w:val="0"/>
              </w:rPr>
              <w:t xml:space="preserve">Ultimate Ceiling / Backstop</w:t>
            </w:r>
          </w:p>
        </w:tc>
      </w:tr>
    </w:tbl>
    <w:p w:rsidR="00000000" w:rsidDel="00000000" w:rsidP="00000000" w:rsidRDefault="00000000" w:rsidRPr="00000000" w14:paraId="0000007D">
      <w:pPr>
        <w:pStyle w:val="Heading4"/>
        <w:rPr/>
      </w:pPr>
      <w:r w:rsidDel="00000000" w:rsidR="00000000" w:rsidRPr="00000000">
        <w:rPr>
          <w:rtl w:val="0"/>
        </w:rPr>
        <w:t xml:space="preserve">Key Administered Rates and Facilities</w:t>
      </w:r>
    </w:p>
    <w:p w:rsidR="00000000" w:rsidDel="00000000" w:rsidP="00000000" w:rsidRDefault="00000000" w:rsidRPr="00000000" w14:paraId="0000007E">
      <w:pPr>
        <w:numPr>
          <w:ilvl w:val="0"/>
          <w:numId w:val="9"/>
        </w:numPr>
        <w:ind w:left="600" w:hanging="360"/>
        <w:rPr/>
      </w:pPr>
      <w:r w:rsidDel="00000000" w:rsidR="00000000" w:rsidRPr="00000000">
        <w:rPr>
          <w:b w:val="1"/>
          <w:rtl w:val="0"/>
        </w:rPr>
        <w:t xml:space="preserve">Interest on Reserve Balances (IORB):</w:t>
      </w:r>
      <w:r w:rsidDel="00000000" w:rsidR="00000000" w:rsidRPr="00000000">
        <w:rPr>
          <w:rtl w:val="0"/>
        </w:rPr>
        <w:t xml:space="preserve"> The IORB rate is the primary tool for influencing the EFFR. It is the interest rate the Fed pays to depository institutions on the reserves they hold. Because a bank can always earn the IORB rate by simply leaving funds on deposit with the Fed, it should be unwilling to lend those reserves to another bank in the unsecured fed funds market for a rate significantly below IORB. This dynamic effectively anchors the EFFR in the vicinity of the IORB rate.</w:t>
      </w:r>
    </w:p>
    <w:p w:rsidR="00000000" w:rsidDel="00000000" w:rsidP="00000000" w:rsidRDefault="00000000" w:rsidRPr="00000000" w14:paraId="0000007F">
      <w:pPr>
        <w:numPr>
          <w:ilvl w:val="0"/>
          <w:numId w:val="9"/>
        </w:numPr>
        <w:ind w:left="600" w:hanging="360"/>
        <w:rPr/>
      </w:pPr>
      <w:r w:rsidDel="00000000" w:rsidR="00000000" w:rsidRPr="00000000">
        <w:rPr>
          <w:b w:val="1"/>
          <w:rtl w:val="0"/>
        </w:rPr>
        <w:t xml:space="preserve">Overnight Reverse Repo (ON RRP) Facility:</w:t>
      </w:r>
      <w:r w:rsidDel="00000000" w:rsidR="00000000" w:rsidRPr="00000000">
        <w:rPr>
          <w:rtl w:val="0"/>
        </w:rPr>
        <w:t xml:space="preserve"> This facility is crucial for establishing a floor under short-term rates. It is accessible to a broader range of counterparties than just banks, most notably money market funds. The ON RRP facility offers these institutions a risk-free overnight investment at a pre-set rate (the ON RRP offering rate). Consequently, an MMF should be unwilling to lend cash in the private repo market for a rate lower than what it can earn from the Fed with no counterparty risk. This mechanism effectively sets a floor for SOFR and other overnight repo rates. The ON RRP facility is more than just a technical policy tool; its usage level is a powerful real-time indicator of conditions in the plumbing. A high balance in the ON RRP facility signifies a large volume of excess cash in the non-bank sector that the private dealer community is either unable or unwilling to intermediate. This can be due to a lack of demand for leverage from borrowers or, more critically, binding balance sheet constraints on dealers from regulations like the Supplementary Leverage Ratio. Therefore, a persistently high ON RRP balance signals that the financial plumbing is "clogged," with a diminished capacity for private intermediation. Conversely, a rapid decline in the ON RRP balance indicates that this cash is being pushed back into the private market, where it must be absorbed, typically by purchasing short-term Treasury bills, which puts downward pressure on bill yields and signals a normalization of funding markets.</w:t>
      </w:r>
    </w:p>
    <w:p w:rsidR="00000000" w:rsidDel="00000000" w:rsidP="00000000" w:rsidRDefault="00000000" w:rsidRPr="00000000" w14:paraId="00000080">
      <w:pPr>
        <w:numPr>
          <w:ilvl w:val="0"/>
          <w:numId w:val="9"/>
        </w:numPr>
        <w:ind w:left="600" w:hanging="360"/>
        <w:rPr/>
      </w:pPr>
      <w:r w:rsidDel="00000000" w:rsidR="00000000" w:rsidRPr="00000000">
        <w:rPr>
          <w:b w:val="1"/>
          <w:rtl w:val="0"/>
        </w:rPr>
        <w:t xml:space="preserve">Standing Repo Facility (SRF):</w:t>
      </w:r>
      <w:r w:rsidDel="00000000" w:rsidR="00000000" w:rsidRPr="00000000">
        <w:rPr>
          <w:rtl w:val="0"/>
        </w:rPr>
        <w:t xml:space="preserve"> Established in 2021, the SRF serves as a backstop to prevent extreme spikes in repo rates, such as the one witnessed in September 2019. The facility allows eligible counterparties to enter into overnight repos with the Fed, borrowing cash against Treasury and agency securities at a fixed rate. This rate is set above market rates in normal times, so the facility is only used during periods of stress. It is designed to act as a reliable ceiling on repo rates, assuring market participants of a source of liquidity and thereby dampening upward rate pressures.</w:t>
      </w:r>
    </w:p>
    <w:p w:rsidR="00000000" w:rsidDel="00000000" w:rsidP="00000000" w:rsidRDefault="00000000" w:rsidRPr="00000000" w14:paraId="00000081">
      <w:pPr>
        <w:pStyle w:val="Heading3"/>
        <w:rPr/>
      </w:pPr>
      <w:r w:rsidDel="00000000" w:rsidR="00000000" w:rsidRPr="00000000">
        <w:rPr>
          <w:rtl w:val="0"/>
        </w:rPr>
        <w:t xml:space="preserve">Chapter 6: The Dynamics of Quantitative Easing (QE) and Tightening (QT)</w:t>
      </w:r>
    </w:p>
    <w:p w:rsidR="00000000" w:rsidDel="00000000" w:rsidP="00000000" w:rsidRDefault="00000000" w:rsidRPr="00000000" w14:paraId="00000082">
      <w:pPr>
        <w:spacing w:after="255" w:lineRule="auto"/>
        <w:rPr/>
      </w:pPr>
      <w:r w:rsidDel="00000000" w:rsidR="00000000" w:rsidRPr="00000000">
        <w:rPr>
          <w:rtl w:val="0"/>
        </w:rPr>
        <w:t xml:space="preserve">Quantitative Easing (QE) and Quantitative Tightening (QT) are large-scale asset purchase and reduction programs that represent the most powerful tools for directly influencing the size of the Federal Reserve's balance sheet and, by extension, the aggregate level of liquidity in the financial system. Understanding their mechanics is crucial for forecasting long-term trends in monetary plumbing.</w:t>
      </w:r>
    </w:p>
    <w:p w:rsidR="00000000" w:rsidDel="00000000" w:rsidP="00000000" w:rsidRDefault="00000000" w:rsidRPr="00000000" w14:paraId="00000083">
      <w:pPr>
        <w:pStyle w:val="Heading4"/>
        <w:spacing w:before="0" w:lineRule="auto"/>
        <w:rPr/>
      </w:pPr>
      <w:r w:rsidDel="00000000" w:rsidR="00000000" w:rsidRPr="00000000">
        <w:rPr>
          <w:rtl w:val="0"/>
        </w:rPr>
        <w:t xml:space="preserve">Quantitative Easing (QE) Mechanics</w:t>
      </w:r>
    </w:p>
    <w:p w:rsidR="00000000" w:rsidDel="00000000" w:rsidP="00000000" w:rsidRDefault="00000000" w:rsidRPr="00000000" w14:paraId="00000084">
      <w:pPr>
        <w:rPr/>
      </w:pPr>
      <w:r w:rsidDel="00000000" w:rsidR="00000000" w:rsidRPr="00000000">
        <w:rPr>
          <w:rtl w:val="0"/>
        </w:rPr>
        <w:t xml:space="preserve">During QE, the Federal Reserve purchases large quantities of Treasury securities and agency mortgage-backed securities from primary dealers in the open market. The Fed pays for these assets by creating new bank reserves, crediting the reserve accounts of the dealers' commercial banks. This process has two immediate effects: it expands the asset side of the Fed's balance sheet (as security holdings increase) and expands the liability side by an equal amount (as bank reserves increase).</w:t>
      </w:r>
    </w:p>
    <w:p w:rsidR="00000000" w:rsidDel="00000000" w:rsidP="00000000" w:rsidRDefault="00000000" w:rsidRPr="00000000" w14:paraId="00000085">
      <w:pPr>
        <w:rPr/>
      </w:pPr>
      <w:r w:rsidDel="00000000" w:rsidR="00000000" w:rsidRPr="00000000">
        <w:rPr>
          <w:rtl w:val="0"/>
        </w:rPr>
        <w:t xml:space="preserve">QE transmits to the broader economy through several channels:</w:t>
      </w:r>
    </w:p>
    <w:p w:rsidR="00000000" w:rsidDel="00000000" w:rsidP="00000000" w:rsidRDefault="00000000" w:rsidRPr="00000000" w14:paraId="00000086">
      <w:pPr>
        <w:numPr>
          <w:ilvl w:val="0"/>
          <w:numId w:val="10"/>
        </w:numPr>
        <w:ind w:left="600" w:hanging="360"/>
        <w:rPr/>
      </w:pPr>
      <w:r w:rsidDel="00000000" w:rsidR="00000000" w:rsidRPr="00000000">
        <w:rPr>
          <w:b w:val="1"/>
          <w:rtl w:val="0"/>
        </w:rPr>
        <w:t xml:space="preserve">Liquidity Channel:</w:t>
      </w:r>
      <w:r w:rsidDel="00000000" w:rsidR="00000000" w:rsidRPr="00000000">
        <w:rPr>
          <w:rtl w:val="0"/>
        </w:rPr>
        <w:t xml:space="preserve"> The primary effect is a massive injection of liquidity into the banking system. The resulting abundance of reserves puts downward pressure on short-term funding rates and is intended to encourage banks to expand lending.</w:t>
      </w:r>
    </w:p>
    <w:p w:rsidR="00000000" w:rsidDel="00000000" w:rsidP="00000000" w:rsidRDefault="00000000" w:rsidRPr="00000000" w14:paraId="00000087">
      <w:pPr>
        <w:numPr>
          <w:ilvl w:val="0"/>
          <w:numId w:val="10"/>
        </w:numPr>
        <w:ind w:left="600" w:hanging="360"/>
        <w:rPr/>
      </w:pPr>
      <w:r w:rsidDel="00000000" w:rsidR="00000000" w:rsidRPr="00000000">
        <w:rPr>
          <w:b w:val="1"/>
          <w:rtl w:val="0"/>
        </w:rPr>
        <w:t xml:space="preserve">Portfolio Rebalance Channel:</w:t>
      </w:r>
      <w:r w:rsidDel="00000000" w:rsidR="00000000" w:rsidRPr="00000000">
        <w:rPr>
          <w:rtl w:val="0"/>
        </w:rPr>
        <w:t xml:space="preserve"> By removing a large supply of safe, long-duration assets (Treasuries and MBS) from the market, the Fed forces private investors who sold those assets to "rebalance" their portfolios into other, typically riskier, assets like corporate bonds and equities. This process bids up the prices of those riskier assets and lowers their yields, thereby easing broader financial conditions.</w:t>
      </w:r>
    </w:p>
    <w:p w:rsidR="00000000" w:rsidDel="00000000" w:rsidP="00000000" w:rsidRDefault="00000000" w:rsidRPr="00000000" w14:paraId="00000088">
      <w:pPr>
        <w:numPr>
          <w:ilvl w:val="0"/>
          <w:numId w:val="10"/>
        </w:numPr>
        <w:ind w:left="600" w:hanging="360"/>
        <w:rPr/>
      </w:pPr>
      <w:r w:rsidDel="00000000" w:rsidR="00000000" w:rsidRPr="00000000">
        <w:rPr>
          <w:b w:val="1"/>
          <w:rtl w:val="0"/>
        </w:rPr>
        <w:t xml:space="preserve">Collateral Scarcity Channel:</w:t>
      </w:r>
      <w:r w:rsidDel="00000000" w:rsidR="00000000" w:rsidRPr="00000000">
        <w:rPr>
          <w:rtl w:val="0"/>
        </w:rPr>
        <w:t xml:space="preserve"> An important and often underappreciated consequence of QE is its impact on the collateral market. By purchasing and holding vast quantities of Treasury securities, the Fed removes the highest-quality collateral from private circulation. This can lead to a scarcity of these assets, which are essential for lubricating repo and other secured financing transactions. This scarcity can manifest as certain Treasury issues trading "special" in the repo market and can, in extreme cases, impair market functioning.</w:t>
      </w:r>
    </w:p>
    <w:p w:rsidR="00000000" w:rsidDel="00000000" w:rsidP="00000000" w:rsidRDefault="00000000" w:rsidRPr="00000000" w14:paraId="00000089">
      <w:pPr>
        <w:pStyle w:val="Heading4"/>
        <w:rPr/>
      </w:pPr>
      <w:r w:rsidDel="00000000" w:rsidR="00000000" w:rsidRPr="00000000">
        <w:rPr>
          <w:rtl w:val="0"/>
        </w:rPr>
        <w:t xml:space="preserve">Quantitative Tightening (QT) Mechanics</w:t>
      </w:r>
    </w:p>
    <w:p w:rsidR="00000000" w:rsidDel="00000000" w:rsidP="00000000" w:rsidRDefault="00000000" w:rsidRPr="00000000" w14:paraId="0000008A">
      <w:pPr>
        <w:rPr/>
      </w:pPr>
      <w:r w:rsidDel="00000000" w:rsidR="00000000" w:rsidRPr="00000000">
        <w:rPr>
          <w:rtl w:val="0"/>
        </w:rPr>
        <w:t xml:space="preserve">QT is the process of shrinking the Fed's balance sheet. The Fed's primary method for conducting QT is "runoff," where it sets a monthly cap on the amount of maturing Treasury and MBS securities that it will allow to mature without reinvesting the principal. When a Treasury security held by the Fed matures, the Treasury pays the Fed. The Fed then simply extinguishes the corresponding liability on its balance sheet, causing bank reserves to decline. This process effectively reverses the liquidity injection of QE, draining reserves from the banking system and tightening financial conditions.</w:t>
      </w:r>
    </w:p>
    <w:p w:rsidR="00000000" w:rsidDel="00000000" w:rsidP="00000000" w:rsidRDefault="00000000" w:rsidRPr="00000000" w14:paraId="0000008B">
      <w:pPr>
        <w:rPr/>
      </w:pPr>
      <w:r w:rsidDel="00000000" w:rsidR="00000000" w:rsidRPr="00000000">
        <w:rPr>
          <w:rtl w:val="0"/>
        </w:rPr>
        <w:t xml:space="preserve">The impact of QT on the financial system is not linear and depends critically on the initial state of the system's liquidity. As market commentators have noted, QT has two primary effects: it forces the private sector to absorb more duration (as the Treasury must issue new debt to the public to pay back the Fed) and it drains reserves from the financial system. In the initial stages of a QT program that begins with very high levels of both bank reserves and ON RRP usage, the impact on bank funding conditions is often muted. The initial reserve drain is largely absorbed by a decline in the ON RRP facility. As the Treasury issues new T-bills to the public to finance the runoff, money market funds—which were previously parking their cash at the RRP facility—use that cash to buy the new bills. The net effect is a shift of a liability on the Fed's balance sheet from "ON RRP" to the Treasury's account and then out of the system, with a relatively small initial impact on the aggregate level of </w:t>
      </w:r>
      <w:r w:rsidDel="00000000" w:rsidR="00000000" w:rsidRPr="00000000">
        <w:rPr>
          <w:i w:val="1"/>
          <w:rtl w:val="0"/>
        </w:rPr>
        <w:t xml:space="preserve">bank</w:t>
      </w:r>
      <w:r w:rsidDel="00000000" w:rsidR="00000000" w:rsidRPr="00000000">
        <w:rPr>
          <w:rtl w:val="0"/>
        </w:rPr>
        <w:t xml:space="preserve"> reserves.</w:t>
      </w:r>
    </w:p>
    <w:p w:rsidR="00000000" w:rsidDel="00000000" w:rsidP="00000000" w:rsidRDefault="00000000" w:rsidRPr="00000000" w14:paraId="0000008C">
      <w:pPr>
        <w:spacing w:after="225" w:lineRule="auto"/>
        <w:rPr/>
      </w:pPr>
      <w:r w:rsidDel="00000000" w:rsidR="00000000" w:rsidRPr="00000000">
        <w:rPr>
          <w:rtl w:val="0"/>
        </w:rPr>
        <w:t xml:space="preserve">The true tightening effect, or "bite," of QT begins when the ON RRP facility has been substantially drained. At this point, any further runoff directly and immediately reduces the level of reserves held by the banking system. This is a critical inflection point. Once QT begins to drain bank reserves directly, the upward pressure on short-term funding rates like SOFR and EFFR accelerates. Therefore, monitoring the level of the ON RRP facility during a QT cycle is a crucial forward-looking indicator for anticipating when the policy will begin to have a more potent impact on bank liquidity and funding costs.</w:t>
      </w:r>
    </w:p>
    <w:p w:rsidR="00000000" w:rsidDel="00000000" w:rsidP="00000000" w:rsidRDefault="00000000" w:rsidRPr="00000000" w14:paraId="0000008D">
      <w:pPr>
        <w:pStyle w:val="Heading2"/>
        <w:spacing w:before="0" w:lineRule="auto"/>
        <w:rPr/>
      </w:pPr>
      <w:r w:rsidDel="00000000" w:rsidR="00000000" w:rsidRPr="00000000">
        <w:rPr>
          <w:rtl w:val="0"/>
        </w:rPr>
        <w:t xml:space="preserve">Part III: A Framework for Signal Extraction from Monetary Plumbing</w:t>
      </w:r>
    </w:p>
    <w:p w:rsidR="00000000" w:rsidDel="00000000" w:rsidP="00000000" w:rsidRDefault="00000000" w:rsidRPr="00000000" w14:paraId="0000008E">
      <w:pPr>
        <w:spacing w:after="240" w:lineRule="auto"/>
        <w:rPr/>
      </w:pPr>
      <w:r w:rsidDel="00000000" w:rsidR="00000000" w:rsidRPr="00000000">
        <w:rPr>
          <w:rtl w:val="0"/>
        </w:rPr>
        <w:t xml:space="preserve">Building on the foundational understanding of the market's architecture and the Federal Reserve's operational framework, this section develops a practical toolkit for extracting actionable signals from the monetary plumbing. The goal is to translate raw data from money markets into interpretable indicators of system liquidity, credit risk, and collateral scarcity.</w:t>
      </w:r>
    </w:p>
    <w:p w:rsidR="00000000" w:rsidDel="00000000" w:rsidP="00000000" w:rsidRDefault="00000000" w:rsidRPr="00000000" w14:paraId="0000008F">
      <w:pPr>
        <w:pStyle w:val="Heading3"/>
        <w:spacing w:before="0" w:lineRule="auto"/>
        <w:rPr/>
      </w:pPr>
      <w:r w:rsidDel="00000000" w:rsidR="00000000" w:rsidRPr="00000000">
        <w:rPr>
          <w:rtl w:val="0"/>
        </w:rPr>
        <w:t xml:space="preserve">Chapter 7: Monitoring System Liquidity: The Interplay of Reserves, RRP, and the TGA</w:t>
      </w:r>
    </w:p>
    <w:p w:rsidR="00000000" w:rsidDel="00000000" w:rsidP="00000000" w:rsidRDefault="00000000" w:rsidRPr="00000000" w14:paraId="00000090">
      <w:pPr>
        <w:spacing w:after="255" w:lineRule="auto"/>
        <w:rPr/>
      </w:pPr>
      <w:r w:rsidDel="00000000" w:rsidR="00000000" w:rsidRPr="00000000">
        <w:rPr>
          <w:rtl w:val="0"/>
        </w:rPr>
        <w:t xml:space="preserve">The aggregate level of bank reserves is the ultimate measure of liquidity within the core banking system. As established in Chapter 4, its level is not determined by a single actor but is the residual outcome of the interaction between Federal Reserve asset holdings, Treasury fiscal operations, and money market fund investment decisions. A systematic approach to monitoring liquidity involves tracking these key components using publicly available data.</w:t>
      </w:r>
    </w:p>
    <w:p w:rsidR="00000000" w:rsidDel="00000000" w:rsidP="00000000" w:rsidRDefault="00000000" w:rsidRPr="00000000" w14:paraId="00000091">
      <w:pPr>
        <w:pStyle w:val="Heading4"/>
        <w:spacing w:before="0" w:lineRule="auto"/>
        <w:rPr/>
      </w:pPr>
      <w:r w:rsidDel="00000000" w:rsidR="00000000" w:rsidRPr="00000000">
        <w:rPr>
          <w:rtl w:val="0"/>
        </w:rPr>
        <w:t xml:space="preserve">The Liquidity Dashboard: Key Variables and Data Sources</w:t>
      </w:r>
    </w:p>
    <w:p w:rsidR="00000000" w:rsidDel="00000000" w:rsidP="00000000" w:rsidRDefault="00000000" w:rsidRPr="00000000" w14:paraId="00000092">
      <w:pPr>
        <w:rPr/>
      </w:pPr>
      <w:r w:rsidDel="00000000" w:rsidR="00000000" w:rsidRPr="00000000">
        <w:rPr>
          <w:rtl w:val="0"/>
        </w:rPr>
        <w:t xml:space="preserve">A practical dashboard for monitoring system-wide liquidity can be constructed by tracking the weekly changes in the following variables, all of which are available in the Federal Reserve's H.4.1 statistical release or related publications :</w:t>
      </w:r>
    </w:p>
    <w:p w:rsidR="00000000" w:rsidDel="00000000" w:rsidP="00000000" w:rsidRDefault="00000000" w:rsidRPr="00000000" w14:paraId="00000093">
      <w:pPr>
        <w:numPr>
          <w:ilvl w:val="0"/>
          <w:numId w:val="11"/>
        </w:numPr>
        <w:ind w:left="600" w:hanging="360"/>
        <w:rPr/>
      </w:pPr>
      <w:r w:rsidDel="00000000" w:rsidR="00000000" w:rsidRPr="00000000">
        <w:rPr>
          <w:b w:val="1"/>
          <w:rtl w:val="0"/>
        </w:rPr>
        <w:t xml:space="preserve">Bank Reserves:</w:t>
      </w:r>
      <w:r w:rsidDel="00000000" w:rsidR="00000000" w:rsidRPr="00000000">
        <w:rPr>
          <w:rtl w:val="0"/>
        </w:rPr>
        <w:t xml:space="preserve"> The primary variable of interest, representing deposits of depository institutions at Federal Reserve Banks. </w:t>
      </w:r>
      <w:r w:rsidDel="00000000" w:rsidR="00000000" w:rsidRPr="00000000">
        <w:rPr>
          <w:i w:val="1"/>
          <w:rtl w:val="0"/>
        </w:rPr>
        <w:t xml:space="preserve">Source: Federal Reserve H.4.1 Statistical Release.</w:t>
      </w:r>
      <w:r w:rsidDel="00000000" w:rsidR="00000000" w:rsidRPr="00000000">
        <w:rPr>
          <w:rtl w:val="0"/>
        </w:rPr>
      </w:r>
    </w:p>
    <w:p w:rsidR="00000000" w:rsidDel="00000000" w:rsidP="00000000" w:rsidRDefault="00000000" w:rsidRPr="00000000" w14:paraId="00000094">
      <w:pPr>
        <w:numPr>
          <w:ilvl w:val="0"/>
          <w:numId w:val="11"/>
        </w:numPr>
        <w:ind w:left="600" w:hanging="360"/>
        <w:rPr/>
      </w:pPr>
      <w:r w:rsidDel="00000000" w:rsidR="00000000" w:rsidRPr="00000000">
        <w:rPr>
          <w:b w:val="1"/>
          <w:rtl w:val="0"/>
        </w:rPr>
        <w:t xml:space="preserve">Overnight Reverse Repo (ON RRP) Usage:</w:t>
      </w:r>
      <w:r w:rsidDel="00000000" w:rsidR="00000000" w:rsidRPr="00000000">
        <w:rPr>
          <w:rtl w:val="0"/>
        </w:rPr>
        <w:t xml:space="preserve"> The daily and weekly balance of the ON RRP facility, reflecting the amount of cash absorbed from money market funds and other non-bank entities. </w:t>
      </w:r>
      <w:r w:rsidDel="00000000" w:rsidR="00000000" w:rsidRPr="00000000">
        <w:rPr>
          <w:i w:val="1"/>
          <w:rtl w:val="0"/>
        </w:rPr>
        <w:t xml:space="preserve">Source: New York Fed Open Market Operations Data; Federal Reserve H.4.1 Statistical Release</w:t>
      </w:r>
      <w:r w:rsidDel="00000000" w:rsidR="00000000" w:rsidRPr="00000000">
        <w:rPr>
          <w:rtl w:val="0"/>
        </w:rPr>
        <w:t xml:space="preserve">.</w:t>
      </w:r>
    </w:p>
    <w:p w:rsidR="00000000" w:rsidDel="00000000" w:rsidP="00000000" w:rsidRDefault="00000000" w:rsidRPr="00000000" w14:paraId="00000095">
      <w:pPr>
        <w:numPr>
          <w:ilvl w:val="0"/>
          <w:numId w:val="11"/>
        </w:numPr>
        <w:ind w:left="600" w:hanging="360"/>
        <w:rPr/>
      </w:pPr>
      <w:r w:rsidDel="00000000" w:rsidR="00000000" w:rsidRPr="00000000">
        <w:rPr>
          <w:b w:val="1"/>
          <w:rtl w:val="0"/>
        </w:rPr>
        <w:t xml:space="preserve">Treasury General Account (TGA) Balance:</w:t>
      </w:r>
      <w:r w:rsidDel="00000000" w:rsidR="00000000" w:rsidRPr="00000000">
        <w:rPr>
          <w:rtl w:val="0"/>
        </w:rPr>
        <w:t xml:space="preserve"> The balance of the U.S. Treasury's main account at the Fed. </w:t>
      </w:r>
      <w:r w:rsidDel="00000000" w:rsidR="00000000" w:rsidRPr="00000000">
        <w:rPr>
          <w:i w:val="1"/>
          <w:rtl w:val="0"/>
        </w:rPr>
        <w:t xml:space="preserve">Source: Federal Reserve H.4.1 Statistical Release; Daily Treasury Statement.</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By inputting the weekly changes of these variables into the liquidity equation ($ \Delta \text{Bank Reserves} \approx \Delta \text{Fed Assets} - \Delta \text{ON RRP} - \Delta \text{TGA} - \Delta \text{Currency} $), an analyst can decompose the drivers of changes in bank liquidity. This analysis reveals whether a change in reserves was driven by intentional Fed policy (a change in assets), a shift in private market risk appetite (a change in RRP usage), or fiscal flows (a change in the TGA).</w:t>
      </w:r>
    </w:p>
    <w:p w:rsidR="00000000" w:rsidDel="00000000" w:rsidP="00000000" w:rsidRDefault="00000000" w:rsidRPr="00000000" w14:paraId="00000097">
      <w:pPr>
        <w:rPr/>
      </w:pPr>
      <w:r w:rsidDel="00000000" w:rsidR="00000000" w:rsidRPr="00000000">
        <w:rPr>
          <w:rtl w:val="0"/>
        </w:rPr>
        <w:t xml:space="preserve">This quantitative analysis should be supplemented with a qualitative understanding of the underlying drivers. For example, Treasury issuance decisions—specifically the mix between short-term bills and longer-term coupons—have a direct impact on the plumbing. Heavy bill issuance tends to be absorbed by money market funds, leading to a drain on the ON RRP facility. Heavy coupon issuance is more likely to be absorbed by primary dealers and banks, directly impacting bank reserve levels and dealer balance sheet capacity. Therefore, monitoring the Treasury's Quarterly Refunding Announcements and issuance calendars is not merely a concern for bond market specialists; it is a critical input for forecasting short-term liquidity conditions.</w:t>
      </w:r>
    </w:p>
    <w:p w:rsidR="00000000" w:rsidDel="00000000" w:rsidP="00000000" w:rsidRDefault="00000000" w:rsidRPr="00000000" w14:paraId="00000098">
      <w:pPr>
        <w:spacing w:after="240" w:lineRule="auto"/>
        <w:rPr/>
      </w:pPr>
      <w:r w:rsidDel="00000000" w:rsidR="00000000" w:rsidRPr="00000000">
        <w:rPr>
          <w:rtl w:val="0"/>
        </w:rPr>
        <w:t xml:space="preserve">The TGA balance, in particular, can be a significant source of "unintended" monetary tightening or easing, operating independently of explicit Fed policy. As demonstrated in the events leading up to the September 2019 repo spike, the confluence of a quarterly corporate tax deadline and the settlement of a large Treasury auction caused the TGA to swell, draining over $100 billion in reserves from the banking system in just two business days. This massive, albeit temporary, liquidity withdrawal was a primary catalyst for the subsequent market dislocation. This historical example underscores the necessity of incorporating fiscal flows into any robust framework for monitoring monetary plumbing.</w:t>
      </w:r>
    </w:p>
    <w:p w:rsidR="00000000" w:rsidDel="00000000" w:rsidP="00000000" w:rsidRDefault="00000000" w:rsidRPr="00000000" w14:paraId="00000099">
      <w:pPr>
        <w:pStyle w:val="Heading3"/>
        <w:spacing w:before="0" w:lineRule="auto"/>
        <w:rPr/>
      </w:pPr>
      <w:r w:rsidDel="00000000" w:rsidR="00000000" w:rsidRPr="00000000">
        <w:rPr>
          <w:rtl w:val="0"/>
        </w:rPr>
        <w:t xml:space="preserve">Chapter 8: Interpreting Rate Spreads as Market Barometers</w:t>
      </w:r>
    </w:p>
    <w:p w:rsidR="00000000" w:rsidDel="00000000" w:rsidP="00000000" w:rsidRDefault="00000000" w:rsidRPr="00000000" w14:paraId="0000009A">
      <w:pPr>
        <w:rPr/>
      </w:pPr>
      <w:r w:rsidDel="00000000" w:rsidR="00000000" w:rsidRPr="00000000">
        <w:rPr>
          <w:rtl w:val="0"/>
        </w:rPr>
        <w:t xml:space="preserve">Spreads between various money market rates provide a rich, high-frequency source of information about risk, scarcity, and market segmentation. A systematic analysis of these spreads can transform them from simple price data into powerful diagnostic indicators.</w:t>
      </w:r>
    </w:p>
    <w:p w:rsidR="00000000" w:rsidDel="00000000" w:rsidP="00000000" w:rsidRDefault="00000000" w:rsidRPr="00000000" w14:paraId="0000009B">
      <w:pPr>
        <w:numPr>
          <w:ilvl w:val="0"/>
          <w:numId w:val="13"/>
        </w:numPr>
        <w:ind w:left="600" w:hanging="360"/>
        <w:rPr/>
      </w:pPr>
      <w:r w:rsidDel="00000000" w:rsidR="00000000" w:rsidRPr="00000000">
        <w:rPr>
          <w:b w:val="1"/>
          <w:rtl w:val="0"/>
        </w:rPr>
        <w:t xml:space="preserve">Secured vs. Unsecured (SOFR vs. EFFR/OBFR):</w:t>
      </w:r>
      <w:r w:rsidDel="00000000" w:rsidR="00000000" w:rsidRPr="00000000">
        <w:rPr>
          <w:rtl w:val="0"/>
        </w:rPr>
        <w:t xml:space="preserve"> As established previously, this is the primary indicator of systemic credit risk and flight-to-safety dynamics within the banking system. A widening spread signals rising concern about interbank counterparty solvency.</w:t>
      </w:r>
    </w:p>
    <w:p w:rsidR="00000000" w:rsidDel="00000000" w:rsidP="00000000" w:rsidRDefault="00000000" w:rsidRPr="00000000" w14:paraId="0000009C">
      <w:pPr>
        <w:numPr>
          <w:ilvl w:val="0"/>
          <w:numId w:val="13"/>
        </w:numPr>
        <w:ind w:left="600" w:hanging="360"/>
        <w:rPr/>
      </w:pPr>
      <w:r w:rsidDel="00000000" w:rsidR="00000000" w:rsidRPr="00000000">
        <w:rPr>
          <w:b w:val="1"/>
          <w:rtl w:val="0"/>
        </w:rPr>
        <w:t xml:space="preserve">Repo General Collateral (GC) vs. "Specials":</w:t>
      </w:r>
      <w:r w:rsidDel="00000000" w:rsidR="00000000" w:rsidRPr="00000000">
        <w:rPr>
          <w:rtl w:val="0"/>
        </w:rPr>
        <w:t xml:space="preserve"> The spread between the GC repo rate (the rate for any acceptable Treasury collateral) and the rate for a specific, in-demand Treasury issue is a direct measure of that security's scarcity. A wide "specialness spread" indicates intense demand to borrow a particular CUSIP, often to cover a short position or for delivery into a futures contract. Tracking which bonds are trading special and the magnitude of their specialness provides granular insight into positioning and demand in the securities finance market.</w:t>
      </w:r>
    </w:p>
    <w:p w:rsidR="00000000" w:rsidDel="00000000" w:rsidP="00000000" w:rsidRDefault="00000000" w:rsidRPr="00000000" w14:paraId="0000009D">
      <w:pPr>
        <w:numPr>
          <w:ilvl w:val="0"/>
          <w:numId w:val="13"/>
        </w:numPr>
        <w:ind w:left="600" w:hanging="360"/>
        <w:rPr/>
      </w:pPr>
      <w:r w:rsidDel="00000000" w:rsidR="00000000" w:rsidRPr="00000000">
        <w:rPr>
          <w:b w:val="1"/>
          <w:rtl w:val="0"/>
        </w:rPr>
        <w:t xml:space="preserve">Intra-Market Spreads (e.g., Tri-Party vs. Bilateral Repo):</w:t>
      </w:r>
      <w:r w:rsidDel="00000000" w:rsidR="00000000" w:rsidRPr="00000000">
        <w:rPr>
          <w:rtl w:val="0"/>
        </w:rPr>
        <w:t xml:space="preserve"> In a perfectly efficient market, rates for similar collateral should be nearly identical across different trading venues. However, during periods of stress, rates can diverge significantly. The September 2019 episode saw a notable dispersion of rates between the tri-party, GCF, and bilateral repo segments. Such divergences signal market segmentation and funding bottlenecks, often pointing to constraints at the dealer level that prevent the smooth arbitrage of liquidity across the system.</w:t>
      </w:r>
    </w:p>
    <w:p w:rsidR="00000000" w:rsidDel="00000000" w:rsidP="00000000" w:rsidRDefault="00000000" w:rsidRPr="00000000" w14:paraId="0000009E">
      <w:pPr>
        <w:numPr>
          <w:ilvl w:val="0"/>
          <w:numId w:val="13"/>
        </w:numPr>
        <w:ind w:left="600" w:hanging="360"/>
        <w:rPr/>
      </w:pPr>
      <w:r w:rsidDel="00000000" w:rsidR="00000000" w:rsidRPr="00000000">
        <w:rPr>
          <w:b w:val="1"/>
          <w:rtl w:val="0"/>
        </w:rPr>
        <w:t xml:space="preserve">Market Rates vs. Administered Rates (SOFR vs. RRP Rate; EFFR vs. IORB):</w:t>
      </w:r>
      <w:r w:rsidDel="00000000" w:rsidR="00000000" w:rsidRPr="00000000">
        <w:rPr>
          <w:rtl w:val="0"/>
        </w:rPr>
        <w:t xml:space="preserve"> The position of market rates relative to the Fed's policy corridor provides a clear signal about the aggregate level of liquidity.</w:t>
      </w:r>
    </w:p>
    <w:p w:rsidR="00000000" w:rsidDel="00000000" w:rsidP="00000000" w:rsidRDefault="00000000" w:rsidRPr="00000000" w14:paraId="0000009F">
      <w:pPr>
        <w:numPr>
          <w:ilvl w:val="1"/>
          <w:numId w:val="14"/>
        </w:numPr>
        <w:ind w:left="1200" w:hanging="360"/>
        <w:rPr/>
      </w:pPr>
      <w:r w:rsidDel="00000000" w:rsidR="00000000" w:rsidRPr="00000000">
        <w:rPr>
          <w:rtl w:val="0"/>
        </w:rPr>
        <w:t xml:space="preserve">When reserves are abundant, market rates tend to be pinned closely to the floor of the system, the ON RRP rate, as MMFs have little incentive to lend in the private market for less than the risk-free rate offered by the Fed.</w:t>
      </w:r>
    </w:p>
    <w:p w:rsidR="00000000" w:rsidDel="00000000" w:rsidP="00000000" w:rsidRDefault="00000000" w:rsidRPr="00000000" w14:paraId="000000A0">
      <w:pPr>
        <w:numPr>
          <w:ilvl w:val="1"/>
          <w:numId w:val="14"/>
        </w:numPr>
        <w:ind w:left="1200" w:hanging="360"/>
        <w:rPr/>
      </w:pPr>
      <w:r w:rsidDel="00000000" w:rsidR="00000000" w:rsidRPr="00000000">
        <w:rPr>
          <w:rtl w:val="0"/>
        </w:rPr>
        <w:t xml:space="preserve">As reserves become scarcer, competition for funding increases, causing market rates to lift off the floor and drift upward toward the IORB rate. The spread between SOFR and the IORB rate was a key leading indicator of mounting funding pressure in the months before the September 2019 repo spike. A sustained positive and rising SOFR-IORB spread indicates that the system is moving from a state of abundant liquidity to one of scarcity.</w:t>
      </w:r>
    </w:p>
    <w:p w:rsidR="00000000" w:rsidDel="00000000" w:rsidP="00000000" w:rsidRDefault="00000000" w:rsidRPr="00000000" w14:paraId="000000A1">
      <w:pPr>
        <w:spacing w:after="240" w:lineRule="auto"/>
        <w:rPr/>
      </w:pPr>
      <w:r w:rsidDel="00000000" w:rsidR="00000000" w:rsidRPr="00000000">
        <w:rPr>
          <w:rtl w:val="0"/>
        </w:rPr>
        <w:t xml:space="preserve">A tiered analysis of these spreads allows for a more nuanced diagnosis of market conditions. A widening SOFR-EFFR spread points to a broad, system-wide credit event. A widening GC-Specials spread for a single bond is a micro-level signal about that specific asset. A divergence between rates in different repo segments points to an operational or structural bottleneck in dealer intermediation. By monitoring these spreads in concert, an analyst can distinguish between different types of market stress and identify their root causes.</w:t>
      </w:r>
    </w:p>
    <w:p w:rsidR="00000000" w:rsidDel="00000000" w:rsidP="00000000" w:rsidRDefault="00000000" w:rsidRPr="00000000" w14:paraId="000000A2">
      <w:pPr>
        <w:pStyle w:val="Heading3"/>
        <w:spacing w:before="0" w:lineRule="auto"/>
        <w:rPr/>
      </w:pPr>
      <w:r w:rsidDel="00000000" w:rsidR="00000000" w:rsidRPr="00000000">
        <w:rPr>
          <w:rtl w:val="0"/>
        </w:rPr>
        <w:t xml:space="preserve">Chapter 9: The Role of Collateral: Velocity, Quality, and Transformation</w:t>
      </w:r>
    </w:p>
    <w:p w:rsidR="00000000" w:rsidDel="00000000" w:rsidP="00000000" w:rsidRDefault="00000000" w:rsidRPr="00000000" w14:paraId="000000A3">
      <w:pPr>
        <w:spacing w:after="255" w:lineRule="auto"/>
        <w:rPr/>
      </w:pPr>
      <w:r w:rsidDel="00000000" w:rsidR="00000000" w:rsidRPr="00000000">
        <w:rPr>
          <w:rtl w:val="0"/>
        </w:rPr>
        <w:t xml:space="preserve">Beyond tracking rates and liquidity levels, an advanced understanding of monetary plumbing requires an appreciation for the dynamics of collateral itself. The concepts of collateral velocity, quality, and transformation are central to understanding systemic leverage and fragility.</w:t>
      </w:r>
    </w:p>
    <w:p w:rsidR="00000000" w:rsidDel="00000000" w:rsidP="00000000" w:rsidRDefault="00000000" w:rsidRPr="00000000" w14:paraId="000000A4">
      <w:pPr>
        <w:pStyle w:val="Heading4"/>
        <w:spacing w:before="0" w:lineRule="auto"/>
        <w:rPr/>
      </w:pPr>
      <w:r w:rsidDel="00000000" w:rsidR="00000000" w:rsidRPr="00000000">
        <w:rPr>
          <w:rtl w:val="0"/>
        </w:rPr>
        <w:t xml:space="preserve">Collateral Velocity and Re-use</w:t>
      </w:r>
    </w:p>
    <w:p w:rsidR="00000000" w:rsidDel="00000000" w:rsidP="00000000" w:rsidRDefault="00000000" w:rsidRPr="00000000" w14:paraId="000000A5">
      <w:pPr>
        <w:rPr/>
      </w:pPr>
      <w:r w:rsidDel="00000000" w:rsidR="00000000" w:rsidRPr="00000000">
        <w:rPr>
          <w:rtl w:val="0"/>
        </w:rPr>
        <w:t xml:space="preserve">Collateral velocity—also known as re-use or rehypothecation—refers to the number of times a single piece of collateral is pledged to support subsequent, unrelated transactions. For example, a hedge fund may pledge a Treasury bond to its prime broker (a dealer) to secure a loan. The dealer can then re-pledge that same Treasury bond to an MMF to obtain its own funding in the repo market. This process creates "collateral chains" and acts as a powerful lubricant for the financial system, effectively increasing the supply of usable collateral and supporting a greater volume of economic activity than the underlying stock of assets would suggest.</w:t>
      </w:r>
    </w:p>
    <w:p w:rsidR="00000000" w:rsidDel="00000000" w:rsidP="00000000" w:rsidRDefault="00000000" w:rsidRPr="00000000" w14:paraId="000000A6">
      <w:pPr>
        <w:rPr/>
      </w:pPr>
      <w:r w:rsidDel="00000000" w:rsidR="00000000" w:rsidRPr="00000000">
        <w:rPr>
          <w:rtl w:val="0"/>
        </w:rPr>
        <w:t xml:space="preserve">However, this efficiency comes with a trade-off. High collateral velocity increases the interconnectedness of the financial system and creates the potential for shock amplification. A default or a failure to return collateral at one point in the chain can trigger a cascade of failures, as each subsequent participant finds themselves unable to meet their own obligations.</w:t>
      </w:r>
    </w:p>
    <w:p w:rsidR="00000000" w:rsidDel="00000000" w:rsidP="00000000" w:rsidRDefault="00000000" w:rsidRPr="00000000" w14:paraId="000000A7">
      <w:pPr>
        <w:spacing w:after="255" w:lineRule="auto"/>
        <w:rPr/>
      </w:pPr>
      <w:r w:rsidDel="00000000" w:rsidR="00000000" w:rsidRPr="00000000">
        <w:rPr>
          <w:rtl w:val="0"/>
        </w:rPr>
        <w:t xml:space="preserve">While collateral velocity is difficult to measure directly with public data, its intensity can be inferred. Research from the European Central Bank, using proprietary data, has shown that dealers actively increase their rate of collateral re-use in response to scarcity induced by central bank asset purchase programs. This implies that the "specialness" of government bonds in the repo market can serve as a useful proxy. When QE removes a large volume of high-quality collateral from the market, the remaining securities must be worked harder to satisfy the system's demand for collateral. This increased re-use and scarcity is directly reflected in a greater number of bonds trading "special" and in wider specialness spreads. Thus, the state of specialness in the repo market provides an observable, real-time indicator of the underlying pressure on collateral chains throughout the system.</w:t>
      </w:r>
    </w:p>
    <w:p w:rsidR="00000000" w:rsidDel="00000000" w:rsidP="00000000" w:rsidRDefault="00000000" w:rsidRPr="00000000" w14:paraId="000000A8">
      <w:pPr>
        <w:pStyle w:val="Heading4"/>
        <w:spacing w:before="0" w:lineRule="auto"/>
        <w:rPr/>
      </w:pPr>
      <w:r w:rsidDel="00000000" w:rsidR="00000000" w:rsidRPr="00000000">
        <w:rPr>
          <w:rtl w:val="0"/>
        </w:rPr>
        <w:t xml:space="preserve">Collateral Quality and Funding Costs</w:t>
      </w:r>
    </w:p>
    <w:p w:rsidR="00000000" w:rsidDel="00000000" w:rsidP="00000000" w:rsidRDefault="00000000" w:rsidRPr="00000000" w14:paraId="000000A9">
      <w:pPr>
        <w:rPr/>
      </w:pPr>
      <w:r w:rsidDel="00000000" w:rsidR="00000000" w:rsidRPr="00000000">
        <w:rPr>
          <w:rtl w:val="0"/>
        </w:rPr>
        <w:t xml:space="preserve">The quality of collateral is a primary determinant of funding costs and the amount of leverage available to a borrower. High-quality, highly liquid collateral, such as U.S. Treasury securities, commands the lowest repo rates (cheapest funding) and the lowest haircuts (allowing for the most leverage). As collateral quality decreases (e.g., moving from government bonds to corporate bonds or equities), lenders demand higher repo rates and larger haircuts to compensate for increased credit risk and price volatility.</w:t>
      </w:r>
    </w:p>
    <w:p w:rsidR="00000000" w:rsidDel="00000000" w:rsidP="00000000" w:rsidRDefault="00000000" w:rsidRPr="00000000" w14:paraId="000000AA">
      <w:pPr>
        <w:spacing w:after="225" w:lineRule="auto"/>
        <w:rPr/>
      </w:pPr>
      <w:r w:rsidDel="00000000" w:rsidR="00000000" w:rsidRPr="00000000">
        <w:rPr>
          <w:rtl w:val="0"/>
        </w:rPr>
        <w:t xml:space="preserve">During a crisis, this relationship becomes acutely important. A "flight to quality" leads to a surge in demand for the safest assets, while the value of lower-quality collateral can plummet. This can trigger a vicious cycle of margin calls, where borrowers are forced to post more collateral or liquidate assets to meet their obligations, leading to fire sales that further depress asset prices and amplify the crisis. The process of "collateral transformation," where intermediaries use their balance sheets to effectively swap lower-quality collateral for higher-quality collateral needed by their clients, is a key function of the plumbing that can break down during periods of severe stress.</w:t>
      </w:r>
    </w:p>
    <w:p w:rsidR="00000000" w:rsidDel="00000000" w:rsidP="00000000" w:rsidRDefault="00000000" w:rsidRPr="00000000" w14:paraId="000000AB">
      <w:pPr>
        <w:pStyle w:val="Heading2"/>
        <w:spacing w:before="0" w:lineRule="auto"/>
        <w:rPr/>
      </w:pPr>
      <w:r w:rsidDel="00000000" w:rsidR="00000000" w:rsidRPr="00000000">
        <w:rPr>
          <w:rtl w:val="0"/>
        </w:rPr>
        <w:t xml:space="preserve">Part IV: Connecting Plumbing Signals to Securities Finance</w:t>
      </w:r>
    </w:p>
    <w:p w:rsidR="00000000" w:rsidDel="00000000" w:rsidP="00000000" w:rsidRDefault="00000000" w:rsidRPr="00000000" w14:paraId="000000AC">
      <w:pPr>
        <w:spacing w:after="240" w:lineRule="auto"/>
        <w:rPr/>
      </w:pPr>
      <w:r w:rsidDel="00000000" w:rsidR="00000000" w:rsidRPr="00000000">
        <w:rPr>
          <w:rtl w:val="0"/>
        </w:rPr>
        <w:t xml:space="preserve">This section bridges the gap between the macroeconomic analysis of the monetary plumbing and the specific domain of securities finance. The objective is to establish clear, testable transmission mechanisms and develop a concrete set of indicators that can be integrated into securities lending data analysis.</w:t>
      </w:r>
    </w:p>
    <w:p w:rsidR="00000000" w:rsidDel="00000000" w:rsidP="00000000" w:rsidRDefault="00000000" w:rsidRPr="00000000" w14:paraId="000000AD">
      <w:pPr>
        <w:pStyle w:val="Heading3"/>
        <w:spacing w:before="0" w:lineRule="auto"/>
        <w:rPr/>
      </w:pPr>
      <w:r w:rsidDel="00000000" w:rsidR="00000000" w:rsidRPr="00000000">
        <w:rPr>
          <w:rtl w:val="0"/>
        </w:rPr>
        <w:t xml:space="preserve">Chapter 10: From Macro Liquidity to Micro-Level Securities Lending</w:t>
      </w:r>
    </w:p>
    <w:p w:rsidR="00000000" w:rsidDel="00000000" w:rsidP="00000000" w:rsidRDefault="00000000" w:rsidRPr="00000000" w14:paraId="000000AE">
      <w:pPr>
        <w:rPr/>
      </w:pPr>
      <w:r w:rsidDel="00000000" w:rsidR="00000000" w:rsidRPr="00000000">
        <w:rPr>
          <w:rtl w:val="0"/>
        </w:rPr>
        <w:t xml:space="preserve">The critical nexus connecting the broad funding markets to the granular world of securities lending is the balance sheet of the dealer-bank. Dealers are simultaneously major intermediaries in the repo market—where they source much of their funding—and major borrowers in the securities lending market—where they source specific securities to facilitate their own and their clients' trading activities. The conditions they face in the former market directly dictate their behavior in the latter through several distinct channels.</w:t>
      </w:r>
    </w:p>
    <w:p w:rsidR="00000000" w:rsidDel="00000000" w:rsidP="00000000" w:rsidRDefault="00000000" w:rsidRPr="00000000" w14:paraId="000000AF">
      <w:pPr>
        <w:numPr>
          <w:ilvl w:val="0"/>
          <w:numId w:val="15"/>
        </w:numPr>
        <w:ind w:left="600" w:hanging="360"/>
        <w:rPr/>
      </w:pPr>
      <w:r w:rsidDel="00000000" w:rsidR="00000000" w:rsidRPr="00000000">
        <w:rPr>
          <w:b w:val="1"/>
          <w:rtl w:val="0"/>
        </w:rPr>
        <w:t xml:space="preserve">Funding Cost Channel:</w:t>
      </w:r>
      <w:r w:rsidDel="00000000" w:rsidR="00000000" w:rsidRPr="00000000">
        <w:rPr>
          <w:rtl w:val="0"/>
        </w:rPr>
        <w:t xml:space="preserve"> The most direct link is the cost of funding. Repo rates represent a dealer's marginal cost of financing its balance sheet. An increase in repo rates raises the cost for a dealer to finance its inventory of securities, including those borrowed through securities lending arrangements. This higher cost of capital will inevitably be passed on to the dealer's clients in the form of higher securities lending fees, wider bid-ask spreads on loans, or a reduced willingness to take on new positions.</w:t>
      </w:r>
    </w:p>
    <w:p w:rsidR="00000000" w:rsidDel="00000000" w:rsidP="00000000" w:rsidRDefault="00000000" w:rsidRPr="00000000" w14:paraId="000000B0">
      <w:pPr>
        <w:numPr>
          <w:ilvl w:val="0"/>
          <w:numId w:val="15"/>
        </w:numPr>
        <w:ind w:left="600" w:hanging="360"/>
        <w:rPr/>
      </w:pPr>
      <w:r w:rsidDel="00000000" w:rsidR="00000000" w:rsidRPr="00000000">
        <w:rPr>
          <w:b w:val="1"/>
          <w:rtl w:val="0"/>
        </w:rPr>
        <w:t xml:space="preserve">Balance Sheet Capacity Channel:</w:t>
      </w:r>
      <w:r w:rsidDel="00000000" w:rsidR="00000000" w:rsidRPr="00000000">
        <w:rPr>
          <w:rtl w:val="0"/>
        </w:rPr>
        <w:t xml:space="preserve"> Post-crisis regulations, particularly the non-risk-weighted Supplementary Leverage Ratio (SLR), impose constraints on the overall size of a dealer's balance sheet. Both repo and securities lending transactions are balance-sheet-intensive. When a dealer's balance sheet capacity becomes constrained—a condition often exacerbated near quarter-end reporting dates due to "window dressing"—it must ration this scarce resource. This may lead the dealer to prioritize higher-margin activities and pull back from lower-margin businesses like GC securities lending, or to charge a premium for any activity that consumes balance sheet space. This regulatory pressure creates predictable seasonality in funding costs and availability.</w:t>
      </w:r>
    </w:p>
    <w:p w:rsidR="00000000" w:rsidDel="00000000" w:rsidP="00000000" w:rsidRDefault="00000000" w:rsidRPr="00000000" w14:paraId="000000B1">
      <w:pPr>
        <w:numPr>
          <w:ilvl w:val="0"/>
          <w:numId w:val="15"/>
        </w:numPr>
        <w:ind w:left="600" w:hanging="360"/>
        <w:rPr/>
      </w:pPr>
      <w:r w:rsidDel="00000000" w:rsidR="00000000" w:rsidRPr="00000000">
        <w:rPr>
          <w:b w:val="1"/>
          <w:rtl w:val="0"/>
        </w:rPr>
        <w:t xml:space="preserve">Collateral Demand Channel:</w:t>
      </w:r>
      <w:r w:rsidDel="00000000" w:rsidR="00000000" w:rsidRPr="00000000">
        <w:rPr>
          <w:rtl w:val="0"/>
        </w:rPr>
        <w:t xml:space="preserve"> The demand to borrow a specific security is the primary driver of its lending fee. This demand often manifests first and most transparently in the repo market. When a security becomes highly sought after, it will begin to trade "on special" at a repo rate significantly below the general collateral rate. This "specialness" is a direct, high-frequency signal of intense borrowing demand. A dealer seeking to source that security for a client will look to both the repo market and the securities lending market. The high implicit borrowing cost in the repo market (the specialness spread) will be reflected in a high explicit borrowing fee in the securities lending market.</w:t>
      </w:r>
    </w:p>
    <w:p w:rsidR="00000000" w:rsidDel="00000000" w:rsidP="00000000" w:rsidRDefault="00000000" w:rsidRPr="00000000" w14:paraId="000000B2">
      <w:pPr>
        <w:numPr>
          <w:ilvl w:val="0"/>
          <w:numId w:val="15"/>
        </w:numPr>
        <w:ind w:left="600" w:hanging="360"/>
        <w:rPr/>
      </w:pPr>
      <w:r w:rsidDel="00000000" w:rsidR="00000000" w:rsidRPr="00000000">
        <w:rPr>
          <w:b w:val="1"/>
          <w:rtl w:val="0"/>
        </w:rPr>
        <w:t xml:space="preserve">Monetary Policy Stance Channel:</w:t>
      </w:r>
      <w:r w:rsidDel="00000000" w:rsidR="00000000" w:rsidRPr="00000000">
        <w:rPr>
          <w:rtl w:val="0"/>
        </w:rPr>
        <w:t xml:space="preserve"> The overall stance of monetary policy shapes the macroeconomic environment and influences the types of trades that drive securities lending demand.</w:t>
      </w:r>
    </w:p>
    <w:p w:rsidR="00000000" w:rsidDel="00000000" w:rsidP="00000000" w:rsidRDefault="00000000" w:rsidRPr="00000000" w14:paraId="000000B3">
      <w:pPr>
        <w:numPr>
          <w:ilvl w:val="1"/>
          <w:numId w:val="16"/>
        </w:numPr>
        <w:ind w:left="1200" w:hanging="360"/>
        <w:rPr/>
      </w:pPr>
      <w:r w:rsidDel="00000000" w:rsidR="00000000" w:rsidRPr="00000000">
        <w:rPr>
          <w:b w:val="1"/>
          <w:rtl w:val="0"/>
        </w:rPr>
        <w:t xml:space="preserve">Expansionary Policy (Low Rates):</w:t>
      </w:r>
      <w:r w:rsidDel="00000000" w:rsidR="00000000" w:rsidRPr="00000000">
        <w:rPr>
          <w:rtl w:val="0"/>
        </w:rPr>
        <w:t xml:space="preserve"> Lower interest rates reduce the cost of leverage and can encourage more risk-taking and speculative activity, such as directional short-selling in equities, which boosts demand for hard-to-borrow stocks.</w:t>
      </w:r>
    </w:p>
    <w:p w:rsidR="00000000" w:rsidDel="00000000" w:rsidP="00000000" w:rsidRDefault="00000000" w:rsidRPr="00000000" w14:paraId="000000B4">
      <w:pPr>
        <w:numPr>
          <w:ilvl w:val="1"/>
          <w:numId w:val="16"/>
        </w:numPr>
        <w:ind w:left="1200" w:hanging="360"/>
        <w:rPr/>
      </w:pPr>
      <w:r w:rsidDel="00000000" w:rsidR="00000000" w:rsidRPr="00000000">
        <w:rPr>
          <w:b w:val="1"/>
          <w:rtl w:val="0"/>
        </w:rPr>
        <w:t xml:space="preserve">Contractionary Policy (High Rates):</w:t>
      </w:r>
      <w:r w:rsidDel="00000000" w:rsidR="00000000" w:rsidRPr="00000000">
        <w:rPr>
          <w:rtl w:val="0"/>
        </w:rPr>
        <w:t xml:space="preserve"> Higher interest rates increase the volatility and downward price pressure on fixed-income securities. This can lead to an increase in demand to borrow government and corporate bonds for hedging purposes or to execute short-selling strategies based on rising yields. The impact of rate changes on directional trades in corporate bonds can be a significant driver of lending fees in that asset class.</w:t>
      </w:r>
    </w:p>
    <w:p w:rsidR="00000000" w:rsidDel="00000000" w:rsidP="00000000" w:rsidRDefault="00000000" w:rsidRPr="00000000" w14:paraId="000000B5">
      <w:pPr>
        <w:pStyle w:val="Heading3"/>
        <w:rPr/>
      </w:pPr>
      <w:r w:rsidDel="00000000" w:rsidR="00000000" w:rsidRPr="00000000">
        <w:rPr>
          <w:rtl w:val="0"/>
        </w:rPr>
        <w:t xml:space="preserve">Chapter 11: Developing Actionable Signals for Securities Finance</w:t>
      </w:r>
    </w:p>
    <w:p w:rsidR="00000000" w:rsidDel="00000000" w:rsidP="00000000" w:rsidRDefault="00000000" w:rsidRPr="00000000" w14:paraId="000000B6">
      <w:pPr>
        <w:spacing w:after="255" w:lineRule="auto"/>
        <w:rPr/>
      </w:pPr>
      <w:r w:rsidDel="00000000" w:rsidR="00000000" w:rsidRPr="00000000">
        <w:rPr>
          <w:rtl w:val="0"/>
        </w:rPr>
        <w:t xml:space="preserve">This chapter synthesizes the analysis into a concrete framework of actionable signals and testable hypotheses. It provides a roadmap for integrating data from the monetary plumbing system into quantitative models of the securities finance market.</w:t>
      </w:r>
    </w:p>
    <w:p w:rsidR="00000000" w:rsidDel="00000000" w:rsidP="00000000" w:rsidRDefault="00000000" w:rsidRPr="00000000" w14:paraId="000000B7">
      <w:pPr>
        <w:pStyle w:val="Heading4"/>
        <w:spacing w:before="0" w:lineRule="auto"/>
        <w:rPr/>
      </w:pPr>
      <w:r w:rsidDel="00000000" w:rsidR="00000000" w:rsidRPr="00000000">
        <w:rPr>
          <w:rtl w:val="0"/>
        </w:rPr>
        <w:t xml:space="preserve">Signal 1: Repo Specialness as a Leading Indicator for Securities Lending Fees</w:t>
      </w:r>
    </w:p>
    <w:p w:rsidR="00000000" w:rsidDel="00000000" w:rsidP="00000000" w:rsidRDefault="00000000" w:rsidRPr="00000000" w14:paraId="000000B8">
      <w:pPr>
        <w:numPr>
          <w:ilvl w:val="0"/>
          <w:numId w:val="17"/>
        </w:numPr>
        <w:ind w:left="600" w:hanging="360"/>
        <w:rPr/>
      </w:pPr>
      <w:r w:rsidDel="00000000" w:rsidR="00000000" w:rsidRPr="00000000">
        <w:rPr>
          <w:b w:val="1"/>
          <w:rtl w:val="0"/>
        </w:rPr>
        <w:t xml:space="preserve">Hypothesis:</w:t>
      </w:r>
      <w:r w:rsidDel="00000000" w:rsidR="00000000" w:rsidRPr="00000000">
        <w:rPr>
          <w:rtl w:val="0"/>
        </w:rPr>
        <w:t xml:space="preserve"> The specialness spread of a specific CUSIP in the overnight repo market is a positive and statistically significant leading indicator of the securities lending fee for that same CUSIP.</w:t>
      </w:r>
    </w:p>
    <w:p w:rsidR="00000000" w:rsidDel="00000000" w:rsidP="00000000" w:rsidRDefault="00000000" w:rsidRPr="00000000" w14:paraId="000000B9">
      <w:pPr>
        <w:numPr>
          <w:ilvl w:val="0"/>
          <w:numId w:val="17"/>
        </w:numPr>
        <w:ind w:left="600" w:hanging="360"/>
        <w:rPr/>
      </w:pPr>
      <w:r w:rsidDel="00000000" w:rsidR="00000000" w:rsidRPr="00000000">
        <w:rPr>
          <w:b w:val="1"/>
          <w:rtl w:val="0"/>
        </w:rPr>
        <w:t xml:space="preserve">Rationale:</w:t>
      </w:r>
      <w:r w:rsidDel="00000000" w:rsidR="00000000" w:rsidRPr="00000000">
        <w:rPr>
          <w:rtl w:val="0"/>
        </w:rPr>
        <w:t xml:space="preserve"> The repo market is a highly liquid, high-frequency venue where dealers first express demand for specific securities. The specialness spread represents the implicit, market-determined cost of borrowing that security for one day. This implicit cost should logically precede and be highly correlated with the explicit fee charged in the slightly less immediate securities lending market.</w:t>
      </w:r>
    </w:p>
    <w:p w:rsidR="00000000" w:rsidDel="00000000" w:rsidP="00000000" w:rsidRDefault="00000000" w:rsidRPr="00000000" w14:paraId="000000BA">
      <w:pPr>
        <w:numPr>
          <w:ilvl w:val="0"/>
          <w:numId w:val="17"/>
        </w:numPr>
        <w:ind w:left="600" w:hanging="360"/>
        <w:rPr/>
      </w:pPr>
      <w:r w:rsidDel="00000000" w:rsidR="00000000" w:rsidRPr="00000000">
        <w:rPr>
          <w:b w:val="1"/>
          <w:rtl w:val="0"/>
        </w:rPr>
        <w:t xml:space="preserve">Application:</w:t>
      </w:r>
      <w:r w:rsidDel="00000000" w:rsidR="00000000" w:rsidRPr="00000000">
        <w:rPr>
          <w:rtl w:val="0"/>
        </w:rPr>
        <w:t xml:space="preserve"> A model can be built to forecast next-day securities lending fees using the current day's specialness spread as a key input, potentially augmented by other variables like short interest and implied volatility.</w:t>
      </w:r>
    </w:p>
    <w:p w:rsidR="00000000" w:rsidDel="00000000" w:rsidP="00000000" w:rsidRDefault="00000000" w:rsidRPr="00000000" w14:paraId="000000BB">
      <w:pPr>
        <w:pStyle w:val="Heading4"/>
        <w:rPr/>
      </w:pPr>
      <w:r w:rsidDel="00000000" w:rsidR="00000000" w:rsidRPr="00000000">
        <w:rPr>
          <w:rtl w:val="0"/>
        </w:rPr>
        <w:t xml:space="preserve">Signal 2: Dealer Balance Sheet Constraints as a Predictor of General Lending Costs</w:t>
      </w:r>
    </w:p>
    <w:p w:rsidR="00000000" w:rsidDel="00000000" w:rsidP="00000000" w:rsidRDefault="00000000" w:rsidRPr="00000000" w14:paraId="000000BC">
      <w:pPr>
        <w:numPr>
          <w:ilvl w:val="0"/>
          <w:numId w:val="12"/>
        </w:numPr>
        <w:ind w:left="600" w:hanging="360"/>
        <w:rPr/>
      </w:pPr>
      <w:r w:rsidDel="00000000" w:rsidR="00000000" w:rsidRPr="00000000">
        <w:rPr>
          <w:b w:val="1"/>
          <w:rtl w:val="0"/>
        </w:rPr>
        <w:t xml:space="preserve">Hypothesis:</w:t>
      </w:r>
      <w:r w:rsidDel="00000000" w:rsidR="00000000" w:rsidRPr="00000000">
        <w:rPr>
          <w:rtl w:val="0"/>
        </w:rPr>
        <w:t xml:space="preserve"> Measures of system-wide dealer balance sheet constraints are positively correlated with the average cost of borrowing general collateral (GC) securities and with the bid-ask spreads on securities loans.</w:t>
      </w:r>
    </w:p>
    <w:p w:rsidR="00000000" w:rsidDel="00000000" w:rsidP="00000000" w:rsidRDefault="00000000" w:rsidRPr="00000000" w14:paraId="000000BD">
      <w:pPr>
        <w:numPr>
          <w:ilvl w:val="0"/>
          <w:numId w:val="12"/>
        </w:numPr>
        <w:ind w:left="600" w:hanging="360"/>
        <w:rPr/>
      </w:pPr>
      <w:r w:rsidDel="00000000" w:rsidR="00000000" w:rsidRPr="00000000">
        <w:rPr>
          <w:b w:val="1"/>
          <w:rtl w:val="0"/>
        </w:rPr>
        <w:t xml:space="preserve">Rationale:</w:t>
      </w:r>
      <w:r w:rsidDel="00000000" w:rsidR="00000000" w:rsidRPr="00000000">
        <w:rPr>
          <w:rtl w:val="0"/>
        </w:rPr>
        <w:t xml:space="preserve"> Regulatory requirements, especially the leverage ratio, make balance sheet space a costly commodity for dealers, particularly around quarter-end reporting periods. This pressure forces them to charge more for all balance-sheet-intensive activities.</w:t>
      </w:r>
    </w:p>
    <w:p w:rsidR="00000000" w:rsidDel="00000000" w:rsidP="00000000" w:rsidRDefault="00000000" w:rsidRPr="00000000" w14:paraId="000000BE">
      <w:pPr>
        <w:numPr>
          <w:ilvl w:val="0"/>
          <w:numId w:val="12"/>
        </w:numPr>
        <w:ind w:left="600" w:hanging="360"/>
        <w:rPr/>
      </w:pPr>
      <w:r w:rsidDel="00000000" w:rsidR="00000000" w:rsidRPr="00000000">
        <w:rPr>
          <w:b w:val="1"/>
          <w:rtl w:val="0"/>
        </w:rPr>
        <w:t xml:space="preserve">Application:</w:t>
      </w:r>
      <w:r w:rsidDel="00000000" w:rsidR="00000000" w:rsidRPr="00000000">
        <w:rPr>
          <w:rtl w:val="0"/>
        </w:rPr>
        <w:t xml:space="preserve"> Track indicators of balance sheet constraint, such as the volatility and level of repo rates around quarter-ends or the spread between different repo market segments (e.g., tri-party vs. bilateral). Spikes in these indicators should predict periods of generally higher costs and lower availability for GC securities loans.</w:t>
      </w:r>
    </w:p>
    <w:p w:rsidR="00000000" w:rsidDel="00000000" w:rsidP="00000000" w:rsidRDefault="00000000" w:rsidRPr="00000000" w14:paraId="000000BF">
      <w:pPr>
        <w:pStyle w:val="Heading4"/>
        <w:rPr/>
      </w:pPr>
      <w:r w:rsidDel="00000000" w:rsidR="00000000" w:rsidRPr="00000000">
        <w:rPr>
          <w:rtl w:val="0"/>
        </w:rPr>
        <w:t xml:space="preserve">Signal 3: Monetary Policy Shocks and Demand for Different Collateral Types</w:t>
      </w:r>
    </w:p>
    <w:p w:rsidR="00000000" w:rsidDel="00000000" w:rsidP="00000000" w:rsidRDefault="00000000" w:rsidRPr="00000000" w14:paraId="000000C0">
      <w:pPr>
        <w:numPr>
          <w:ilvl w:val="0"/>
          <w:numId w:val="18"/>
        </w:numPr>
        <w:ind w:left="600" w:hanging="360"/>
        <w:rPr/>
      </w:pPr>
      <w:r w:rsidDel="00000000" w:rsidR="00000000" w:rsidRPr="00000000">
        <w:rPr>
          <w:b w:val="1"/>
          <w:rtl w:val="0"/>
        </w:rPr>
        <w:t xml:space="preserve">Hypothesis:</w:t>
      </w:r>
      <w:r w:rsidDel="00000000" w:rsidR="00000000" w:rsidRPr="00000000">
        <w:rPr>
          <w:rtl w:val="0"/>
        </w:rPr>
        <w:t xml:space="preserve"> Unanticipated monetary policy tightening shocks lead to a relative increase in borrowing demand and fees for fixed-income securities (sovereign and corporate bonds) compared to equities.</w:t>
      </w:r>
    </w:p>
    <w:p w:rsidR="00000000" w:rsidDel="00000000" w:rsidP="00000000" w:rsidRDefault="00000000" w:rsidRPr="00000000" w14:paraId="000000C1">
      <w:pPr>
        <w:numPr>
          <w:ilvl w:val="0"/>
          <w:numId w:val="18"/>
        </w:numPr>
        <w:ind w:left="600" w:hanging="360"/>
        <w:rPr/>
      </w:pPr>
      <w:r w:rsidDel="00000000" w:rsidR="00000000" w:rsidRPr="00000000">
        <w:rPr>
          <w:b w:val="1"/>
          <w:rtl w:val="0"/>
        </w:rPr>
        <w:t xml:space="preserve">Rationale:</w:t>
      </w:r>
      <w:r w:rsidDel="00000000" w:rsidR="00000000" w:rsidRPr="00000000">
        <w:rPr>
          <w:rtl w:val="0"/>
        </w:rPr>
        <w:t xml:space="preserve"> Monetary policy has a direct and immediate impact on the valuation of fixed-income instruments. A tightening shock increases yields and lowers bond prices, creating immediate incentives for investors to hedge their long positions or initiate new short positions, both of which require borrowing the underlying securities.</w:t>
      </w:r>
    </w:p>
    <w:p w:rsidR="00000000" w:rsidDel="00000000" w:rsidP="00000000" w:rsidRDefault="00000000" w:rsidRPr="00000000" w14:paraId="000000C2">
      <w:pPr>
        <w:numPr>
          <w:ilvl w:val="0"/>
          <w:numId w:val="18"/>
        </w:numPr>
        <w:ind w:left="600" w:hanging="360"/>
        <w:rPr/>
      </w:pPr>
      <w:r w:rsidDel="00000000" w:rsidR="00000000" w:rsidRPr="00000000">
        <w:rPr>
          <w:b w:val="1"/>
          <w:rtl w:val="0"/>
        </w:rPr>
        <w:t xml:space="preserve">Application:</w:t>
      </w:r>
      <w:r w:rsidDel="00000000" w:rsidR="00000000" w:rsidRPr="00000000">
        <w:rPr>
          <w:rtl w:val="0"/>
        </w:rPr>
        <w:t xml:space="preserve"> Using an event-study methodology around FOMC announcements, one can measure the differential response ("beta") of lending fees and volumes across different asset classes to monetary policy surprises. This can help in dynamically allocating capital or adjusting pricing models based on the prevailing monetary policy outlook.</w:t>
      </w:r>
    </w:p>
    <w:p w:rsidR="00000000" w:rsidDel="00000000" w:rsidP="00000000" w:rsidRDefault="00000000" w:rsidRPr="00000000" w14:paraId="000000C3">
      <w:pPr>
        <w:pStyle w:val="Heading4"/>
        <w:rPr/>
      </w:pPr>
      <w:r w:rsidDel="00000000" w:rsidR="00000000" w:rsidRPr="00000000">
        <w:rPr>
          <w:rtl w:val="0"/>
        </w:rPr>
        <w:t xml:space="preserve">Signal 4: System Liquidity and the "Collateral Upgrade" Trade</w:t>
      </w:r>
    </w:p>
    <w:p w:rsidR="00000000" w:rsidDel="00000000" w:rsidP="00000000" w:rsidRDefault="00000000" w:rsidRPr="00000000" w14:paraId="000000C4">
      <w:pPr>
        <w:numPr>
          <w:ilvl w:val="0"/>
          <w:numId w:val="19"/>
        </w:numPr>
        <w:ind w:left="600" w:hanging="360"/>
        <w:rPr/>
      </w:pPr>
      <w:r w:rsidDel="00000000" w:rsidR="00000000" w:rsidRPr="00000000">
        <w:rPr>
          <w:b w:val="1"/>
          <w:rtl w:val="0"/>
        </w:rPr>
        <w:t xml:space="preserve">Hypothesis:</w:t>
      </w:r>
      <w:r w:rsidDel="00000000" w:rsidR="00000000" w:rsidRPr="00000000">
        <w:rPr>
          <w:rtl w:val="0"/>
        </w:rPr>
        <w:t xml:space="preserve"> In a market environment characterized by abundant cash liquidity but a scarcity of high-quality collateral (e.g., high bank reserves, low ON RRP balance, and widespread repo specialness), there will be an increase in securities lending transactions where lower-quality assets are posted as collateral to borrow high-quality liquid assets (HQLA) like U.S. Treasuries.</w:t>
      </w:r>
    </w:p>
    <w:p w:rsidR="00000000" w:rsidDel="00000000" w:rsidP="00000000" w:rsidRDefault="00000000" w:rsidRPr="00000000" w14:paraId="000000C5">
      <w:pPr>
        <w:numPr>
          <w:ilvl w:val="0"/>
          <w:numId w:val="19"/>
        </w:numPr>
        <w:ind w:left="600" w:hanging="360"/>
        <w:rPr/>
      </w:pPr>
      <w:r w:rsidDel="00000000" w:rsidR="00000000" w:rsidRPr="00000000">
        <w:rPr>
          <w:b w:val="1"/>
          <w:rtl w:val="0"/>
        </w:rPr>
        <w:t xml:space="preserve">Rationale:</w:t>
      </w:r>
      <w:r w:rsidDel="00000000" w:rsidR="00000000" w:rsidRPr="00000000">
        <w:rPr>
          <w:rtl w:val="0"/>
        </w:rPr>
        <w:t xml:space="preserve"> During periods of collateral scarcity, firms holding less-liquid assets may need to access HQLA to meet margin requirements for derivatives or to post as collateral in other funding transactions. They can achieve this via a "collateral upgrade" trade in the securities lending market.</w:t>
      </w:r>
    </w:p>
    <w:p w:rsidR="00000000" w:rsidDel="00000000" w:rsidP="00000000" w:rsidRDefault="00000000" w:rsidRPr="00000000" w14:paraId="000000C6">
      <w:pPr>
        <w:numPr>
          <w:ilvl w:val="0"/>
          <w:numId w:val="19"/>
        </w:numPr>
        <w:ind w:left="600" w:hanging="360"/>
        <w:rPr/>
      </w:pPr>
      <w:r w:rsidDel="00000000" w:rsidR="00000000" w:rsidRPr="00000000">
        <w:rPr>
          <w:b w:val="1"/>
          <w:rtl w:val="0"/>
        </w:rPr>
        <w:t xml:space="preserve">Application:</w:t>
      </w:r>
      <w:r w:rsidDel="00000000" w:rsidR="00000000" w:rsidRPr="00000000">
        <w:rPr>
          <w:rtl w:val="0"/>
        </w:rPr>
        <w:t xml:space="preserve"> By analyzing securities lending data that includes information on the collateral posted, one can identify periods of heightened demand for collateral upgrade trades. The fees associated with these specific transactions can serve as a market-based price for collateral quality and liquidity.</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Mar>
              <w:top w:w="0.0" w:type="dxa"/>
              <w:left w:w="0.0" w:type="dxa"/>
              <w:bottom w:w="0.0" w:type="dxa"/>
              <w:right w:w="0.0" w:type="dxa"/>
            </w:tcMar>
          </w:tcPr>
          <w:p w:rsidR="00000000" w:rsidDel="00000000" w:rsidP="00000000" w:rsidRDefault="00000000" w:rsidRPr="00000000" w14:paraId="000000C7">
            <w:pPr>
              <w:rPr/>
            </w:pPr>
            <w:r w:rsidDel="00000000" w:rsidR="00000000" w:rsidRPr="00000000">
              <w:rPr>
                <w:rtl w:val="0"/>
              </w:rPr>
              <w:t xml:space="preserve">Macroeconomic Signal</w:t>
            </w:r>
          </w:p>
        </w:tc>
        <w:tc>
          <w:tcPr>
            <w:tcMar>
              <w:top w:w="0.0" w:type="dxa"/>
              <w:left w:w="0.0" w:type="dxa"/>
              <w:bottom w:w="0.0" w:type="dxa"/>
              <w:right w:w="0.0" w:type="dxa"/>
            </w:tcMar>
          </w:tcPr>
          <w:p w:rsidR="00000000" w:rsidDel="00000000" w:rsidP="00000000" w:rsidRDefault="00000000" w:rsidRPr="00000000" w14:paraId="000000C8">
            <w:pPr>
              <w:rPr/>
            </w:pPr>
            <w:r w:rsidDel="00000000" w:rsidR="00000000" w:rsidRPr="00000000">
              <w:rPr>
                <w:rtl w:val="0"/>
              </w:rPr>
              <w:t xml:space="preserve">Primary Indicator(s)</w:t>
            </w:r>
          </w:p>
        </w:tc>
        <w:tc>
          <w:tcPr>
            <w:tcMar>
              <w:top w:w="0.0" w:type="dxa"/>
              <w:left w:w="0.0" w:type="dxa"/>
              <w:bottom w:w="0.0" w:type="dxa"/>
              <w:right w:w="0.0" w:type="dxa"/>
            </w:tcMar>
          </w:tcPr>
          <w:p w:rsidR="00000000" w:rsidDel="00000000" w:rsidP="00000000" w:rsidRDefault="00000000" w:rsidRPr="00000000" w14:paraId="000000C9">
            <w:pPr>
              <w:rPr/>
            </w:pPr>
            <w:r w:rsidDel="00000000" w:rsidR="00000000" w:rsidRPr="00000000">
              <w:rPr>
                <w:rtl w:val="0"/>
              </w:rPr>
              <w:t xml:space="preserve">Data Source(s)</w:t>
            </w:r>
          </w:p>
        </w:tc>
        <w:tc>
          <w:tcPr>
            <w:tcMar>
              <w:top w:w="0.0" w:type="dxa"/>
              <w:left w:w="0.0" w:type="dxa"/>
              <w:bottom w:w="0.0" w:type="dxa"/>
              <w:right w:w="0.0" w:type="dxa"/>
            </w:tcMar>
          </w:tcPr>
          <w:p w:rsidR="00000000" w:rsidDel="00000000" w:rsidP="00000000" w:rsidRDefault="00000000" w:rsidRPr="00000000" w14:paraId="000000CA">
            <w:pPr>
              <w:rPr/>
            </w:pPr>
            <w:r w:rsidDel="00000000" w:rsidR="00000000" w:rsidRPr="00000000">
              <w:rPr>
                <w:rtl w:val="0"/>
              </w:rPr>
              <w:t xml:space="preserve">Interpretation &amp; Implication for Securities Finance</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CB">
            <w:pPr>
              <w:rPr>
                <w:b w:val="1"/>
              </w:rPr>
            </w:pPr>
            <w:r w:rsidDel="00000000" w:rsidR="00000000" w:rsidRPr="00000000">
              <w:rPr>
                <w:b w:val="1"/>
                <w:rtl w:val="0"/>
              </w:rPr>
              <w:t xml:space="preserve">Systemic Funding Stress</w:t>
            </w:r>
          </w:p>
        </w:tc>
        <w:tc>
          <w:tcPr>
            <w:tcMar>
              <w:top w:w="0.0" w:type="dxa"/>
              <w:left w:w="0.0" w:type="dxa"/>
              <w:bottom w:w="0.0" w:type="dxa"/>
              <w:right w:w="0.0" w:type="dxa"/>
            </w:tcMar>
          </w:tcPr>
          <w:p w:rsidR="00000000" w:rsidDel="00000000" w:rsidP="00000000" w:rsidRDefault="00000000" w:rsidRPr="00000000" w14:paraId="000000CC">
            <w:pPr>
              <w:rPr/>
            </w:pPr>
            <w:r w:rsidDel="00000000" w:rsidR="00000000" w:rsidRPr="00000000">
              <w:rPr>
                <w:rtl w:val="0"/>
              </w:rPr>
              <w:t xml:space="preserve">Widening SOFR-EFFR Spread</w:t>
            </w:r>
          </w:p>
        </w:tc>
        <w:tc>
          <w:tcPr>
            <w:tcMar>
              <w:top w:w="0.0" w:type="dxa"/>
              <w:left w:w="0.0" w:type="dxa"/>
              <w:bottom w:w="0.0" w:type="dxa"/>
              <w:right w:w="0.0" w:type="dxa"/>
            </w:tcMar>
          </w:tcPr>
          <w:p w:rsidR="00000000" w:rsidDel="00000000" w:rsidP="00000000" w:rsidRDefault="00000000" w:rsidRPr="00000000" w14:paraId="000000CD">
            <w:pPr>
              <w:rPr/>
            </w:pPr>
            <w:r w:rsidDel="00000000" w:rsidR="00000000" w:rsidRPr="00000000">
              <w:rPr>
                <w:rtl w:val="0"/>
              </w:rPr>
              <w:t xml:space="preserve">NY Fed</w:t>
            </w:r>
          </w:p>
        </w:tc>
        <w:tc>
          <w:tcPr>
            <w:tcMar>
              <w:top w:w="0.0" w:type="dxa"/>
              <w:left w:w="0.0" w:type="dxa"/>
              <w:bottom w:w="0.0" w:type="dxa"/>
              <w:right w:w="0.0" w:type="dxa"/>
            </w:tcMar>
          </w:tcPr>
          <w:p w:rsidR="00000000" w:rsidDel="00000000" w:rsidP="00000000" w:rsidRDefault="00000000" w:rsidRPr="00000000" w14:paraId="000000CE">
            <w:pPr>
              <w:rPr/>
            </w:pPr>
            <w:r w:rsidDel="00000000" w:rsidR="00000000" w:rsidRPr="00000000">
              <w:rPr>
                <w:rtl w:val="0"/>
              </w:rPr>
              <w:t xml:space="preserve">Indicates flight to quality and rising interbank credit risk. Implies higher dealer funding costs, leading to wider bid-ask spreads on securities loans and potentially reduced market-making capacity.</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CF">
            <w:pPr>
              <w:rPr>
                <w:b w:val="1"/>
              </w:rPr>
            </w:pPr>
            <w:r w:rsidDel="00000000" w:rsidR="00000000" w:rsidRPr="00000000">
              <w:rPr>
                <w:b w:val="1"/>
                <w:rtl w:val="0"/>
              </w:rPr>
              <w:t xml:space="preserve">Specific Collateral Scarcity</w:t>
            </w:r>
          </w:p>
        </w:tc>
        <w:tc>
          <w:tcPr>
            <w:tcMar>
              <w:top w:w="0.0" w:type="dxa"/>
              <w:left w:w="0.0" w:type="dxa"/>
              <w:bottom w:w="0.0" w:type="dxa"/>
              <w:right w:w="0.0" w:type="dxa"/>
            </w:tcMar>
          </w:tcPr>
          <w:p w:rsidR="00000000" w:rsidDel="00000000" w:rsidP="00000000" w:rsidRDefault="00000000" w:rsidRPr="00000000" w14:paraId="000000D0">
            <w:pPr>
              <w:rPr/>
            </w:pPr>
            <w:r w:rsidDel="00000000" w:rsidR="00000000" w:rsidRPr="00000000">
              <w:rPr>
                <w:rtl w:val="0"/>
              </w:rPr>
              <w:t xml:space="preserve">GC-Special Repo Spread</w:t>
            </w:r>
          </w:p>
        </w:tc>
        <w:tc>
          <w:tcPr>
            <w:tcMar>
              <w:top w:w="0.0" w:type="dxa"/>
              <w:left w:w="0.0" w:type="dxa"/>
              <w:bottom w:w="0.0" w:type="dxa"/>
              <w:right w:w="0.0" w:type="dxa"/>
            </w:tcMar>
          </w:tcPr>
          <w:p w:rsidR="00000000" w:rsidDel="00000000" w:rsidP="00000000" w:rsidRDefault="00000000" w:rsidRPr="00000000" w14:paraId="000000D1">
            <w:pPr>
              <w:rPr/>
            </w:pPr>
            <w:r w:rsidDel="00000000" w:rsidR="00000000" w:rsidRPr="00000000">
              <w:rPr>
                <w:rtl w:val="0"/>
              </w:rPr>
              <w:t xml:space="preserve">OFR, Market Data Vendors</w:t>
            </w:r>
          </w:p>
        </w:tc>
        <w:tc>
          <w:tcPr>
            <w:tcMar>
              <w:top w:w="0.0" w:type="dxa"/>
              <w:left w:w="0.0" w:type="dxa"/>
              <w:bottom w:w="0.0" w:type="dxa"/>
              <w:right w:w="0.0" w:type="dxa"/>
            </w:tcMar>
          </w:tcPr>
          <w:p w:rsidR="00000000" w:rsidDel="00000000" w:rsidP="00000000" w:rsidRDefault="00000000" w:rsidRPr="00000000" w14:paraId="000000D2">
            <w:pPr>
              <w:rPr/>
            </w:pPr>
            <w:r w:rsidDel="00000000" w:rsidR="00000000" w:rsidRPr="00000000">
              <w:rPr>
                <w:rtl w:val="0"/>
              </w:rPr>
              <w:t xml:space="preserve">Measures intense demand to borrow a specific security. A direct, high-frequency leading indicator for higher securities lending fees on that CUSIP.</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D3">
            <w:pPr>
              <w:rPr>
                <w:b w:val="1"/>
              </w:rPr>
            </w:pPr>
            <w:r w:rsidDel="00000000" w:rsidR="00000000" w:rsidRPr="00000000">
              <w:rPr>
                <w:b w:val="1"/>
                <w:rtl w:val="0"/>
              </w:rPr>
              <w:t xml:space="preserve">Dealer Balance Sheet Constraint</w:t>
            </w:r>
          </w:p>
        </w:tc>
        <w:tc>
          <w:tcPr>
            <w:tcMar>
              <w:top w:w="0.0" w:type="dxa"/>
              <w:left w:w="0.0" w:type="dxa"/>
              <w:bottom w:w="0.0" w:type="dxa"/>
              <w:right w:w="0.0" w:type="dxa"/>
            </w:tcMar>
          </w:tcPr>
          <w:p w:rsidR="00000000" w:rsidDel="00000000" w:rsidP="00000000" w:rsidRDefault="00000000" w:rsidRPr="00000000" w14:paraId="000000D4">
            <w:pPr>
              <w:rPr/>
            </w:pPr>
            <w:r w:rsidDel="00000000" w:rsidR="00000000" w:rsidRPr="00000000">
              <w:rPr>
                <w:rtl w:val="0"/>
              </w:rPr>
              <w:t xml:space="preserve">Quarter-end spikes in repo rates; High ON RRP Balance</w:t>
            </w:r>
          </w:p>
        </w:tc>
        <w:tc>
          <w:tcPr>
            <w:tcMar>
              <w:top w:w="0.0" w:type="dxa"/>
              <w:left w:w="0.0" w:type="dxa"/>
              <w:bottom w:w="0.0" w:type="dxa"/>
              <w:right w:w="0.0" w:type="dxa"/>
            </w:tcMar>
          </w:tcPr>
          <w:p w:rsidR="00000000" w:rsidDel="00000000" w:rsidP="00000000" w:rsidRDefault="00000000" w:rsidRPr="00000000" w14:paraId="000000D5">
            <w:pPr>
              <w:rPr/>
            </w:pPr>
            <w:r w:rsidDel="00000000" w:rsidR="00000000" w:rsidRPr="00000000">
              <w:rPr>
                <w:rtl w:val="0"/>
              </w:rPr>
              <w:t xml:space="preserve">NY Fed, Fed H.4.1</w:t>
            </w:r>
          </w:p>
        </w:tc>
        <w:tc>
          <w:tcPr>
            <w:tcMar>
              <w:top w:w="0.0" w:type="dxa"/>
              <w:left w:w="0.0" w:type="dxa"/>
              <w:bottom w:w="0.0" w:type="dxa"/>
              <w:right w:w="0.0" w:type="dxa"/>
            </w:tcMar>
          </w:tcPr>
          <w:p w:rsidR="00000000" w:rsidDel="00000000" w:rsidP="00000000" w:rsidRDefault="00000000" w:rsidRPr="00000000" w14:paraId="000000D6">
            <w:pPr>
              <w:rPr/>
            </w:pPr>
            <w:r w:rsidDel="00000000" w:rsidR="00000000" w:rsidRPr="00000000">
              <w:rPr>
                <w:rtl w:val="0"/>
              </w:rPr>
              <w:t xml:space="preserve">Signals reduced dealer capacity for intermediation due to regulatory costs. Predicts higher average fees for GC loans and lower market liquidity, especially around reporting dates.</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D7">
            <w:pPr>
              <w:rPr>
                <w:b w:val="1"/>
              </w:rPr>
            </w:pPr>
            <w:r w:rsidDel="00000000" w:rsidR="00000000" w:rsidRPr="00000000">
              <w:rPr>
                <w:b w:val="1"/>
                <w:rtl w:val="0"/>
              </w:rPr>
              <w:t xml:space="preserve">Monetary Policy Stance</w:t>
            </w:r>
          </w:p>
        </w:tc>
        <w:tc>
          <w:tcPr>
            <w:tcMar>
              <w:top w:w="0.0" w:type="dxa"/>
              <w:left w:w="0.0" w:type="dxa"/>
              <w:bottom w:w="0.0" w:type="dxa"/>
              <w:right w:w="0.0" w:type="dxa"/>
            </w:tcMar>
          </w:tcPr>
          <w:p w:rsidR="00000000" w:rsidDel="00000000" w:rsidP="00000000" w:rsidRDefault="00000000" w:rsidRPr="00000000" w14:paraId="000000D8">
            <w:pPr>
              <w:rPr/>
            </w:pPr>
            <w:r w:rsidDel="00000000" w:rsidR="00000000" w:rsidRPr="00000000">
              <w:rPr>
                <w:rtl w:val="0"/>
              </w:rPr>
              <w:t xml:space="preserve">Fed Funds Futures; Monetary Policy Surprise Series</w:t>
            </w:r>
          </w:p>
        </w:tc>
        <w:tc>
          <w:tcPr>
            <w:tcMar>
              <w:top w:w="0.0" w:type="dxa"/>
              <w:left w:w="0.0" w:type="dxa"/>
              <w:bottom w:w="0.0" w:type="dxa"/>
              <w:right w:w="0.0" w:type="dxa"/>
            </w:tcMar>
          </w:tcPr>
          <w:p w:rsidR="00000000" w:rsidDel="00000000" w:rsidP="00000000" w:rsidRDefault="00000000" w:rsidRPr="00000000" w14:paraId="000000D9">
            <w:pPr>
              <w:rPr/>
            </w:pPr>
            <w:r w:rsidDel="00000000" w:rsidR="00000000" w:rsidRPr="00000000">
              <w:rPr>
                <w:rtl w:val="0"/>
              </w:rPr>
              <w:t xml:space="preserve">CME Group, Academic Research</w:t>
            </w:r>
          </w:p>
        </w:tc>
        <w:tc>
          <w:tcPr>
            <w:tcMar>
              <w:top w:w="0.0" w:type="dxa"/>
              <w:left w:w="0.0" w:type="dxa"/>
              <w:bottom w:w="0.0" w:type="dxa"/>
              <w:right w:w="0.0" w:type="dxa"/>
            </w:tcMar>
          </w:tcPr>
          <w:p w:rsidR="00000000" w:rsidDel="00000000" w:rsidP="00000000" w:rsidRDefault="00000000" w:rsidRPr="00000000" w14:paraId="000000DA">
            <w:pPr>
              <w:rPr/>
            </w:pPr>
            <w:r w:rsidDel="00000000" w:rsidR="00000000" w:rsidRPr="00000000">
              <w:rPr>
                <w:rtl w:val="0"/>
              </w:rPr>
              <w:t xml:space="preserve">Indicates the expected path of interest rates. Tightening policy suggests increased demand to borrow fixed-income assets for hedging/shorting, impacting relative lending fees across asset classes.</w:t>
            </w:r>
          </w:p>
        </w:tc>
      </w:tr>
    </w:tbl>
    <w:p w:rsidR="00000000" w:rsidDel="00000000" w:rsidP="00000000" w:rsidRDefault="00000000" w:rsidRPr="00000000" w14:paraId="000000DB">
      <w:pPr>
        <w:pStyle w:val="Heading3"/>
        <w:rPr/>
      </w:pPr>
      <w:r w:rsidDel="00000000" w:rsidR="00000000" w:rsidRPr="00000000">
        <w:rPr>
          <w:rtl w:val="0"/>
        </w:rPr>
        <w:t xml:space="preserve">Chapter 12: A Quantitative Toolkit</w:t>
      </w:r>
    </w:p>
    <w:p w:rsidR="00000000" w:rsidDel="00000000" w:rsidP="00000000" w:rsidRDefault="00000000" w:rsidRPr="00000000" w14:paraId="000000DC">
      <w:pPr>
        <w:spacing w:after="255" w:lineRule="auto"/>
        <w:rPr/>
      </w:pPr>
      <w:r w:rsidDel="00000000" w:rsidR="00000000" w:rsidRPr="00000000">
        <w:rPr>
          <w:rtl w:val="0"/>
        </w:rPr>
        <w:t xml:space="preserve">To implement the framework described in the previous chapter, a quantitative analyst requires access to specific data series and a set of appropriate modeling techniques.</w:t>
      </w:r>
    </w:p>
    <w:p w:rsidR="00000000" w:rsidDel="00000000" w:rsidP="00000000" w:rsidRDefault="00000000" w:rsidRPr="00000000" w14:paraId="000000DD">
      <w:pPr>
        <w:pStyle w:val="Heading4"/>
        <w:spacing w:before="0" w:lineRule="auto"/>
        <w:rPr/>
      </w:pPr>
      <w:r w:rsidDel="00000000" w:rsidR="00000000" w:rsidRPr="00000000">
        <w:rPr>
          <w:rtl w:val="0"/>
        </w:rPr>
        <w:t xml:space="preserve">Data Sources</w:t>
      </w:r>
    </w:p>
    <w:p w:rsidR="00000000" w:rsidDel="00000000" w:rsidP="00000000" w:rsidRDefault="00000000" w:rsidRPr="00000000" w14:paraId="000000DE">
      <w:pPr>
        <w:rPr/>
      </w:pPr>
      <w:r w:rsidDel="00000000" w:rsidR="00000000" w:rsidRPr="00000000">
        <w:rPr>
          <w:rtl w:val="0"/>
        </w:rPr>
        <w:t xml:space="preserve">A comprehensive monitoring system for monetary plumbing should draw on the following publicly available data sources:</w:t>
      </w:r>
    </w:p>
    <w:p w:rsidR="00000000" w:rsidDel="00000000" w:rsidP="00000000" w:rsidRDefault="00000000" w:rsidRPr="00000000" w14:paraId="000000DF">
      <w:pPr>
        <w:numPr>
          <w:ilvl w:val="0"/>
          <w:numId w:val="20"/>
        </w:numPr>
        <w:ind w:left="600" w:hanging="360"/>
        <w:rPr/>
      </w:pPr>
      <w:r w:rsidDel="00000000" w:rsidR="00000000" w:rsidRPr="00000000">
        <w:rPr>
          <w:b w:val="1"/>
          <w:rtl w:val="0"/>
        </w:rPr>
        <w:t xml:space="preserve">Federal Reserve System:</w:t>
      </w:r>
      <w:r w:rsidDel="00000000" w:rsidR="00000000" w:rsidRPr="00000000">
        <w:rPr>
          <w:rtl w:val="0"/>
        </w:rPr>
      </w:r>
    </w:p>
    <w:p w:rsidR="00000000" w:rsidDel="00000000" w:rsidP="00000000" w:rsidRDefault="00000000" w:rsidRPr="00000000" w14:paraId="000000E0">
      <w:pPr>
        <w:numPr>
          <w:ilvl w:val="1"/>
          <w:numId w:val="21"/>
        </w:numPr>
        <w:ind w:left="1200" w:hanging="360"/>
        <w:rPr/>
      </w:pPr>
      <w:r w:rsidDel="00000000" w:rsidR="00000000" w:rsidRPr="00000000">
        <w:rPr>
          <w:b w:val="1"/>
          <w:rtl w:val="0"/>
        </w:rPr>
        <w:t xml:space="preserve">H.4.1 Factors Affecting Reserve Balances:</w:t>
      </w:r>
      <w:r w:rsidDel="00000000" w:rsidR="00000000" w:rsidRPr="00000000">
        <w:rPr>
          <w:rtl w:val="0"/>
        </w:rPr>
        <w:t xml:space="preserve"> Weekly data on the Fed's balance sheet, including assets (SOMA holdings), liabilities (Reserves, ON RRP, TGA, Currency).</w:t>
      </w:r>
    </w:p>
    <w:p w:rsidR="00000000" w:rsidDel="00000000" w:rsidP="00000000" w:rsidRDefault="00000000" w:rsidRPr="00000000" w14:paraId="000000E1">
      <w:pPr>
        <w:numPr>
          <w:ilvl w:val="1"/>
          <w:numId w:val="21"/>
        </w:numPr>
        <w:ind w:left="1200" w:hanging="360"/>
        <w:rPr/>
      </w:pPr>
      <w:r w:rsidDel="00000000" w:rsidR="00000000" w:rsidRPr="00000000">
        <w:rPr>
          <w:b w:val="1"/>
          <w:rtl w:val="0"/>
        </w:rPr>
        <w:t xml:space="preserve">H.15 Selected Interest Rates:</w:t>
      </w:r>
      <w:r w:rsidDel="00000000" w:rsidR="00000000" w:rsidRPr="00000000">
        <w:rPr>
          <w:rtl w:val="0"/>
        </w:rPr>
        <w:t xml:space="preserve"> Daily data on key rates including EFFR and Treasury yields.</w:t>
      </w:r>
    </w:p>
    <w:p w:rsidR="00000000" w:rsidDel="00000000" w:rsidP="00000000" w:rsidRDefault="00000000" w:rsidRPr="00000000" w14:paraId="000000E2">
      <w:pPr>
        <w:numPr>
          <w:ilvl w:val="1"/>
          <w:numId w:val="21"/>
        </w:numPr>
        <w:ind w:left="1200" w:hanging="360"/>
        <w:rPr/>
      </w:pPr>
      <w:r w:rsidDel="00000000" w:rsidR="00000000" w:rsidRPr="00000000">
        <w:rPr>
          <w:b w:val="1"/>
          <w:rtl w:val="0"/>
        </w:rPr>
        <w:t xml:space="preserve">New York Fed Markets Data:</w:t>
      </w:r>
      <w:r w:rsidDel="00000000" w:rsidR="00000000" w:rsidRPr="00000000">
        <w:rPr>
          <w:rtl w:val="0"/>
        </w:rPr>
        <w:t xml:space="preserve"> Daily publication of reference rates (EFFR, OBFR, SOFR, BGCR, TGCR) and their underlying volumes. Daily results of ON RRP and SRF operations.</w:t>
      </w:r>
    </w:p>
    <w:p w:rsidR="00000000" w:rsidDel="00000000" w:rsidP="00000000" w:rsidRDefault="00000000" w:rsidRPr="00000000" w14:paraId="000000E3">
      <w:pPr>
        <w:numPr>
          <w:ilvl w:val="0"/>
          <w:numId w:val="20"/>
        </w:numPr>
        <w:ind w:left="600" w:hanging="360"/>
        <w:rPr/>
      </w:pPr>
      <w:r w:rsidDel="00000000" w:rsidR="00000000" w:rsidRPr="00000000">
        <w:rPr>
          <w:b w:val="1"/>
          <w:rtl w:val="0"/>
        </w:rPr>
        <w:t xml:space="preserve">Office of Financial Research (OFR):</w:t>
      </w:r>
      <w:r w:rsidDel="00000000" w:rsidR="00000000" w:rsidRPr="00000000">
        <w:rPr>
          <w:rtl w:val="0"/>
        </w:rPr>
      </w:r>
    </w:p>
    <w:p w:rsidR="00000000" w:rsidDel="00000000" w:rsidP="00000000" w:rsidRDefault="00000000" w:rsidRPr="00000000" w14:paraId="000000E4">
      <w:pPr>
        <w:numPr>
          <w:ilvl w:val="1"/>
          <w:numId w:val="22"/>
        </w:numPr>
        <w:ind w:left="1200" w:hanging="360"/>
        <w:rPr/>
      </w:pPr>
      <w:r w:rsidDel="00000000" w:rsidR="00000000" w:rsidRPr="00000000">
        <w:rPr>
          <w:b w:val="1"/>
          <w:rtl w:val="0"/>
        </w:rPr>
        <w:t xml:space="preserve">Short-Term Funding Monitor:</w:t>
      </w:r>
      <w:r w:rsidDel="00000000" w:rsidR="00000000" w:rsidRPr="00000000">
        <w:rPr>
          <w:rtl w:val="0"/>
        </w:rPr>
        <w:t xml:space="preserve"> A valuable resource that aggregates and visualizes data on various money markets, including reference rates and repo activity.</w:t>
      </w:r>
    </w:p>
    <w:p w:rsidR="00000000" w:rsidDel="00000000" w:rsidP="00000000" w:rsidRDefault="00000000" w:rsidRPr="00000000" w14:paraId="000000E5">
      <w:pPr>
        <w:numPr>
          <w:ilvl w:val="1"/>
          <w:numId w:val="22"/>
        </w:numPr>
        <w:ind w:left="1200" w:hanging="360"/>
        <w:rPr/>
      </w:pPr>
      <w:r w:rsidDel="00000000" w:rsidR="00000000" w:rsidRPr="00000000">
        <w:rPr>
          <w:b w:val="1"/>
          <w:rtl w:val="0"/>
        </w:rPr>
        <w:t xml:space="preserve">Cleared Repo Data:</w:t>
      </w:r>
      <w:r w:rsidDel="00000000" w:rsidR="00000000" w:rsidRPr="00000000">
        <w:rPr>
          <w:rtl w:val="0"/>
        </w:rPr>
        <w:t xml:space="preserve"> The OFR collects granular data on the cleared segments of the repo market, which can be used for more detailed academic and policy analysis.</w:t>
      </w:r>
    </w:p>
    <w:p w:rsidR="00000000" w:rsidDel="00000000" w:rsidP="00000000" w:rsidRDefault="00000000" w:rsidRPr="00000000" w14:paraId="000000E6">
      <w:pPr>
        <w:numPr>
          <w:ilvl w:val="0"/>
          <w:numId w:val="20"/>
        </w:numPr>
        <w:ind w:left="600" w:hanging="360"/>
        <w:rPr/>
      </w:pPr>
      <w:r w:rsidDel="00000000" w:rsidR="00000000" w:rsidRPr="00000000">
        <w:rPr>
          <w:b w:val="1"/>
          <w:rtl w:val="0"/>
        </w:rPr>
        <w:t xml:space="preserve">Commercial Data Providers &amp; Exchanges:</w:t>
      </w:r>
      <w:r w:rsidDel="00000000" w:rsidR="00000000" w:rsidRPr="00000000">
        <w:rPr>
          <w:rtl w:val="0"/>
        </w:rPr>
      </w:r>
    </w:p>
    <w:p w:rsidR="00000000" w:rsidDel="00000000" w:rsidP="00000000" w:rsidRDefault="00000000" w:rsidRPr="00000000" w14:paraId="000000E7">
      <w:pPr>
        <w:numPr>
          <w:ilvl w:val="1"/>
          <w:numId w:val="23"/>
        </w:numPr>
        <w:ind w:left="1200" w:hanging="360"/>
        <w:rPr/>
      </w:pPr>
      <w:r w:rsidDel="00000000" w:rsidR="00000000" w:rsidRPr="00000000">
        <w:rPr>
          <w:b w:val="1"/>
          <w:rtl w:val="0"/>
        </w:rPr>
        <w:t xml:space="preserve">CME Group:</w:t>
      </w:r>
      <w:r w:rsidDel="00000000" w:rsidR="00000000" w:rsidRPr="00000000">
        <w:rPr>
          <w:rtl w:val="0"/>
        </w:rPr>
        <w:t xml:space="preserve"> Data on STIR futures (e.g., Eurodollar, SOFR futures) can be used to derive market-implied probabilities of future Fed policy moves.</w:t>
      </w:r>
    </w:p>
    <w:p w:rsidR="00000000" w:rsidDel="00000000" w:rsidP="00000000" w:rsidRDefault="00000000" w:rsidRPr="00000000" w14:paraId="000000E8">
      <w:pPr>
        <w:numPr>
          <w:ilvl w:val="1"/>
          <w:numId w:val="23"/>
        </w:numPr>
        <w:ind w:left="1200" w:hanging="360"/>
        <w:rPr/>
      </w:pPr>
      <w:r w:rsidDel="00000000" w:rsidR="00000000" w:rsidRPr="00000000">
        <w:rPr>
          <w:b w:val="1"/>
          <w:rtl w:val="0"/>
        </w:rPr>
        <w:t xml:space="preserve">Bloomberg, Refinitiv, etc.:</w:t>
      </w:r>
      <w:r w:rsidDel="00000000" w:rsidR="00000000" w:rsidRPr="00000000">
        <w:rPr>
          <w:rtl w:val="0"/>
        </w:rPr>
        <w:t xml:space="preserve"> Provide real-time and historical data on a wide range of money market instruments, including specific repo rates and spreads.</w:t>
      </w:r>
    </w:p>
    <w:p w:rsidR="00000000" w:rsidDel="00000000" w:rsidP="00000000" w:rsidRDefault="00000000" w:rsidRPr="00000000" w14:paraId="000000E9">
      <w:pPr>
        <w:pStyle w:val="Heading4"/>
        <w:rPr/>
      </w:pPr>
      <w:r w:rsidDel="00000000" w:rsidR="00000000" w:rsidRPr="00000000">
        <w:rPr>
          <w:rtl w:val="0"/>
        </w:rPr>
        <w:t xml:space="preserve">Proposed Modeling Approaches</w:t>
      </w:r>
    </w:p>
    <w:p w:rsidR="00000000" w:rsidDel="00000000" w:rsidP="00000000" w:rsidRDefault="00000000" w:rsidRPr="00000000" w14:paraId="000000EA">
      <w:pPr>
        <w:rPr/>
      </w:pPr>
      <w:r w:rsidDel="00000000" w:rsidR="00000000" w:rsidRPr="00000000">
        <w:rPr>
          <w:rtl w:val="0"/>
        </w:rPr>
        <w:t xml:space="preserve">The signals identified can be formally tested and integrated into predictive models using a variety of econometric techniques:</w:t>
      </w:r>
    </w:p>
    <w:p w:rsidR="00000000" w:rsidDel="00000000" w:rsidP="00000000" w:rsidRDefault="00000000" w:rsidRPr="00000000" w14:paraId="000000EB">
      <w:pPr>
        <w:numPr>
          <w:ilvl w:val="0"/>
          <w:numId w:val="24"/>
        </w:numPr>
        <w:ind w:left="600" w:hanging="360"/>
        <w:rPr/>
      </w:pPr>
      <w:r w:rsidDel="00000000" w:rsidR="00000000" w:rsidRPr="00000000">
        <w:rPr>
          <w:b w:val="1"/>
          <w:rtl w:val="0"/>
        </w:rPr>
        <w:t xml:space="preserve">Time-Series Regression Analysis:</w:t>
      </w:r>
      <w:r w:rsidDel="00000000" w:rsidR="00000000" w:rsidRPr="00000000">
        <w:rPr>
          <w:rtl w:val="0"/>
        </w:rPr>
        <w:t xml:space="preserve"> This is a straightforward approach for testing specific hypotheses. For example, one could model the daily change in a security's lending fee as a function of the previous day's change in its repo specialness spread, controlling for other factors like market volatility (VIX) and the security's short interest. $$ \Delta \text{Fee}</w:t>
      </w:r>
      <w:r w:rsidDel="00000000" w:rsidR="00000000" w:rsidRPr="00000000">
        <w:rPr>
          <w:i w:val="1"/>
          <w:rtl w:val="0"/>
        </w:rPr>
        <w:t xml:space="preserve">{i,t} = \alpha + \beta_1 (\text{GC}</w:t>
      </w:r>
      <w:r w:rsidDel="00000000" w:rsidR="00000000" w:rsidRPr="00000000">
        <w:rPr>
          <w:rtl w:val="0"/>
        </w:rPr>
        <w:t xml:space="preserve"> {t-1} - \text{Special}</w:t>
      </w:r>
      <w:r w:rsidDel="00000000" w:rsidR="00000000" w:rsidRPr="00000000">
        <w:rPr>
          <w:i w:val="1"/>
          <w:rtl w:val="0"/>
        </w:rPr>
        <w:t xml:space="preserve">{i,t-1}) + \beta_2 \text{VIX}</w:t>
      </w:r>
      <w:r w:rsidDel="00000000" w:rsidR="00000000" w:rsidRPr="00000000">
        <w:rPr>
          <w:rtl w:val="0"/>
        </w:rPr>
        <w:t xml:space="preserve">{t-1} + \epsilon_{i,t} $$</w:t>
      </w:r>
    </w:p>
    <w:p w:rsidR="00000000" w:rsidDel="00000000" w:rsidP="00000000" w:rsidRDefault="00000000" w:rsidRPr="00000000" w14:paraId="000000EC">
      <w:pPr>
        <w:numPr>
          <w:ilvl w:val="0"/>
          <w:numId w:val="24"/>
        </w:numPr>
        <w:ind w:left="600" w:hanging="360"/>
        <w:rPr/>
      </w:pPr>
      <w:r w:rsidDel="00000000" w:rsidR="00000000" w:rsidRPr="00000000">
        <w:rPr>
          <w:b w:val="1"/>
          <w:rtl w:val="0"/>
        </w:rPr>
        <w:t xml:space="preserve">Vector Autoregression (VAR) Models:</w:t>
      </w:r>
      <w:r w:rsidDel="00000000" w:rsidR="00000000" w:rsidRPr="00000000">
        <w:rPr>
          <w:rtl w:val="0"/>
        </w:rPr>
        <w:t xml:space="preserve"> VAR models are well-suited for capturing the complex, dynamic interrelationships between multiple time series without imposing strong structural assumptions. A VAR model could be specified with a vector of key plumbing variables, such as ``. Analyzing the impulse response functions from such a model would reveal how a shock to one variable (e.g., a sudden widening of the credit spread) propagates through the system and affects the others over time.</w:t>
      </w:r>
    </w:p>
    <w:p w:rsidR="00000000" w:rsidDel="00000000" w:rsidP="00000000" w:rsidRDefault="00000000" w:rsidRPr="00000000" w14:paraId="000000ED">
      <w:pPr>
        <w:numPr>
          <w:ilvl w:val="0"/>
          <w:numId w:val="24"/>
        </w:numPr>
        <w:ind w:left="600" w:hanging="360"/>
        <w:rPr/>
      </w:pPr>
      <w:r w:rsidDel="00000000" w:rsidR="00000000" w:rsidRPr="00000000">
        <w:rPr>
          <w:b w:val="1"/>
          <w:rtl w:val="0"/>
        </w:rPr>
        <w:t xml:space="preserve">Event Study Analysis:</w:t>
      </w:r>
      <w:r w:rsidDel="00000000" w:rsidR="00000000" w:rsidRPr="00000000">
        <w:rPr>
          <w:rtl w:val="0"/>
        </w:rPr>
        <w:t xml:space="preserve"> This methodology is ideal for isolating the impact of specific, discrete events on market variables. One could conduct an event study around FOMC policy announcements to measure the average response of securities lending fees and volumes across different asset classes to unexpected changes in the federal funds rate target. This would quantify the "monetary policy stance" channel.</w:t>
      </w:r>
    </w:p>
    <w:p w:rsidR="00000000" w:rsidDel="00000000" w:rsidP="00000000" w:rsidRDefault="00000000" w:rsidRPr="00000000" w14:paraId="000000EE">
      <w:pPr>
        <w:pStyle w:val="Heading2"/>
        <w:rPr/>
      </w:pPr>
      <w:r w:rsidDel="00000000" w:rsidR="00000000" w:rsidRPr="00000000">
        <w:rPr>
          <w:rtl w:val="0"/>
        </w:rPr>
        <w:t xml:space="preserve">Part V: Case Studies and Future Outlook</w:t>
      </w:r>
    </w:p>
    <w:p w:rsidR="00000000" w:rsidDel="00000000" w:rsidP="00000000" w:rsidRDefault="00000000" w:rsidRPr="00000000" w14:paraId="000000EF">
      <w:pPr>
        <w:spacing w:after="240" w:lineRule="auto"/>
        <w:rPr/>
      </w:pPr>
      <w:r w:rsidDel="00000000" w:rsidR="00000000" w:rsidRPr="00000000">
        <w:rPr>
          <w:rtl w:val="0"/>
        </w:rPr>
        <w:t xml:space="preserve">The true test of any analytical framework is its ability to explain past events and provide a lens through which to view future developments. This final section applies the framework to two recent, pivotal market crises and looks ahead to the potential structural changes posed by central bank digital currencies.</w:t>
      </w:r>
    </w:p>
    <w:p w:rsidR="00000000" w:rsidDel="00000000" w:rsidP="00000000" w:rsidRDefault="00000000" w:rsidRPr="00000000" w14:paraId="000000F0">
      <w:pPr>
        <w:pStyle w:val="Heading3"/>
        <w:spacing w:before="0" w:lineRule="auto"/>
        <w:rPr/>
      </w:pPr>
      <w:r w:rsidDel="00000000" w:rsidR="00000000" w:rsidRPr="00000000">
        <w:rPr>
          <w:rtl w:val="0"/>
        </w:rPr>
        <w:t xml:space="preserve">Chapter 13: Anatomy of a Crisis I: The September 2019 Repo Spike</w:t>
      </w:r>
    </w:p>
    <w:p w:rsidR="00000000" w:rsidDel="00000000" w:rsidP="00000000" w:rsidRDefault="00000000" w:rsidRPr="00000000" w14:paraId="000000F1">
      <w:pPr>
        <w:spacing w:after="255" w:lineRule="auto"/>
        <w:rPr/>
      </w:pPr>
      <w:r w:rsidDel="00000000" w:rsidR="00000000" w:rsidRPr="00000000">
        <w:rPr>
          <w:rtl w:val="0"/>
        </w:rPr>
        <w:t xml:space="preserve">The turmoil in the U.S. repo market in mid-September 2019 serves as a textbook case study of a failure in the monetary plumbing. It was not a crisis of solvency but one of liquidity distribution, where the system's pipes became clogged at a critical moment.</w:t>
      </w:r>
    </w:p>
    <w:p w:rsidR="00000000" w:rsidDel="00000000" w:rsidP="00000000" w:rsidRDefault="00000000" w:rsidRPr="00000000" w14:paraId="000000F2">
      <w:pPr>
        <w:pStyle w:val="Heading4"/>
        <w:spacing w:before="0" w:lineRule="auto"/>
        <w:rPr/>
      </w:pPr>
      <w:r w:rsidDel="00000000" w:rsidR="00000000" w:rsidRPr="00000000">
        <w:rPr>
          <w:rtl w:val="0"/>
        </w:rPr>
        <w:t xml:space="preserve">The Pre-existing Conditions</w:t>
      </w:r>
    </w:p>
    <w:p w:rsidR="00000000" w:rsidDel="00000000" w:rsidP="00000000" w:rsidRDefault="00000000" w:rsidRPr="00000000" w14:paraId="000000F3">
      <w:pPr>
        <w:spacing w:after="255" w:lineRule="auto"/>
        <w:rPr/>
      </w:pPr>
      <w:r w:rsidDel="00000000" w:rsidR="00000000" w:rsidRPr="00000000">
        <w:rPr>
          <w:rtl w:val="0"/>
        </w:rPr>
        <w:t xml:space="preserve">Applying the framework from Part III, an analyst monitoring the plumbing in the months leading up to September 2019 would have observed several warning signs. The Federal Reserve had been conducting Quantitative Tightening, gradually shrinking its balance sheet and draining reserves from the system. This led to a multi-year low in aggregate reserve levels by mid-September. Simultaneously, heavy Treasury issuance had caused primary dealer inventories of government bonds to reach an all-time high, increasing their need to finance these positions in the repo market. The most direct signal of this mounting pressure was the spread between SOFR and the Interest on Excess Reserves (IOER, the precursor to IORB), which had been steadily rising and was at its highest level since the start of policy normalization, indicating that reserves were becoming increasingly scarce relative to the supply of Treasury collateral.</w:t>
      </w:r>
    </w:p>
    <w:p w:rsidR="00000000" w:rsidDel="00000000" w:rsidP="00000000" w:rsidRDefault="00000000" w:rsidRPr="00000000" w14:paraId="000000F4">
      <w:pPr>
        <w:pStyle w:val="Heading4"/>
        <w:spacing w:before="0" w:lineRule="auto"/>
        <w:rPr/>
      </w:pPr>
      <w:r w:rsidDel="00000000" w:rsidR="00000000" w:rsidRPr="00000000">
        <w:rPr>
          <w:rtl w:val="0"/>
        </w:rPr>
        <w:t xml:space="preserve">The Trigger and Amplification</w:t>
      </w:r>
    </w:p>
    <w:p w:rsidR="00000000" w:rsidDel="00000000" w:rsidP="00000000" w:rsidRDefault="00000000" w:rsidRPr="00000000" w14:paraId="000000F5">
      <w:pPr>
        <w:rPr/>
      </w:pPr>
      <w:r w:rsidDel="00000000" w:rsidR="00000000" w:rsidRPr="00000000">
        <w:rPr>
          <w:rtl w:val="0"/>
        </w:rPr>
        <w:t xml:space="preserve">The acute trigger was a predictable, simultaneous drain on liquidity from two sources on September 16: a quarterly corporate tax payment deadline and the settlement of a large Treasury auction. Together, these events pulled over $100 billion in cash from bank and MMF accounts and transferred it to the Treasury's account at the Fed, causing a sharp drop in bank reserves.</w:t>
      </w:r>
    </w:p>
    <w:p w:rsidR="00000000" w:rsidDel="00000000" w:rsidP="00000000" w:rsidRDefault="00000000" w:rsidRPr="00000000" w14:paraId="000000F6">
      <w:pPr>
        <w:rPr/>
      </w:pPr>
      <w:r w:rsidDel="00000000" w:rsidR="00000000" w:rsidRPr="00000000">
        <w:rPr>
          <w:rtl w:val="0"/>
        </w:rPr>
        <w:t xml:space="preserve">This liquidity shock was amplified by a critical failure in the plumbing's distribution mechanism. The reserves that remained in the system were heavily concentrated on the balance sheets of a few large U.S. banks. However, due to a combination of internal risk limits and regulatory constraints (such as liquidity coverage ratio requirements), these banks were unwilling to deploy their excess reserves into the repo market, even as rates skyrocketed to as high as 10%. The system's pipes failed to connect the supply of liquidity (at the large banks) with the acute demand for it (from the securities dealers needing to finance their bond inventories). This market segmentation and lack of transparency was a key factor identified in post-mortem analyses by both the Fed and the OFR. The Federal Reserve was ultimately forced to intervene with large-scale overnight repo operations to un-clog the system and restore order.</w:t>
      </w:r>
    </w:p>
    <w:p w:rsidR="00000000" w:rsidDel="00000000" w:rsidP="00000000" w:rsidRDefault="00000000" w:rsidRPr="00000000" w14:paraId="000000F7">
      <w:pPr>
        <w:spacing w:after="240" w:lineRule="auto"/>
        <w:rPr/>
      </w:pPr>
      <w:r w:rsidDel="00000000" w:rsidR="00000000" w:rsidRPr="00000000">
        <w:rPr>
          <w:rtl w:val="0"/>
        </w:rPr>
        <w:t xml:space="preserve">While specific data on securities lending fees during the event is not readily available in the provided materials , the implications are clear. The extreme spike in repo rates represented a massive increase in the cost of funding for dealers. This would have made it prohibitively expensive to finance any inventory, likely causing them to withdraw sharply from all market-making activities, including securities lending. The result would have been a sudden and severe evaporation of liquidity across all securities financing markets.</w:t>
      </w:r>
    </w:p>
    <w:p w:rsidR="00000000" w:rsidDel="00000000" w:rsidP="00000000" w:rsidRDefault="00000000" w:rsidRPr="00000000" w14:paraId="000000F8">
      <w:pPr>
        <w:pStyle w:val="Heading3"/>
        <w:spacing w:before="0" w:lineRule="auto"/>
        <w:rPr/>
      </w:pPr>
      <w:r w:rsidDel="00000000" w:rsidR="00000000" w:rsidRPr="00000000">
        <w:rPr>
          <w:rtl w:val="0"/>
        </w:rPr>
        <w:t xml:space="preserve">Chapter 14: Anatomy of a Crisis II: The March 2020 Dash for Cash</w:t>
      </w:r>
    </w:p>
    <w:p w:rsidR="00000000" w:rsidDel="00000000" w:rsidP="00000000" w:rsidRDefault="00000000" w:rsidRPr="00000000" w14:paraId="000000F9">
      <w:pPr>
        <w:spacing w:after="255" w:lineRule="auto"/>
        <w:rPr/>
      </w:pPr>
      <w:r w:rsidDel="00000000" w:rsidR="00000000" w:rsidRPr="00000000">
        <w:rPr>
          <w:rtl w:val="0"/>
        </w:rPr>
        <w:t xml:space="preserve">The market turmoil at the onset of the COVID-19 pandemic in March 2020 was a crisis of a different nature. It was not a localized plumbing clog but a global, systemic "dash for cash" that broke the market for the world's safest and most liquid collateral: U.S. Treasury securities.</w:t>
      </w:r>
    </w:p>
    <w:p w:rsidR="00000000" w:rsidDel="00000000" w:rsidP="00000000" w:rsidRDefault="00000000" w:rsidRPr="00000000" w14:paraId="000000FA">
      <w:pPr>
        <w:pStyle w:val="Heading4"/>
        <w:spacing w:before="0" w:lineRule="auto"/>
        <w:rPr/>
      </w:pPr>
      <w:r w:rsidDel="00000000" w:rsidR="00000000" w:rsidRPr="00000000">
        <w:rPr>
          <w:rtl w:val="0"/>
        </w:rPr>
        <w:t xml:space="preserve">The Breakdown of the Safe-Haven Market</w:t>
      </w:r>
    </w:p>
    <w:p w:rsidR="00000000" w:rsidDel="00000000" w:rsidP="00000000" w:rsidRDefault="00000000" w:rsidRPr="00000000" w14:paraId="000000FB">
      <w:pPr>
        <w:rPr/>
      </w:pPr>
      <w:r w:rsidDel="00000000" w:rsidR="00000000" w:rsidRPr="00000000">
        <w:rPr>
          <w:rtl w:val="0"/>
        </w:rPr>
        <w:t xml:space="preserve">The profound economic uncertainty sparked by the pandemic triggered an unprecedented global demand for U.S. dollar liquidity. In a typical crisis, this would manifest as a "flight to quality," with investors selling risky assets and buying U.S. Treasuries. In March 2020, however, the need for cash was so extreme that investors, including foreign central banks, hedge funds, and mutual funds, became forced sellers of their most liquid assets—U.S. Treasuries.</w:t>
      </w:r>
    </w:p>
    <w:p w:rsidR="00000000" w:rsidDel="00000000" w:rsidP="00000000" w:rsidRDefault="00000000" w:rsidRPr="00000000" w14:paraId="000000FC">
      <w:pPr>
        <w:spacing w:after="255" w:lineRule="auto"/>
        <w:rPr/>
      </w:pPr>
      <w:r w:rsidDel="00000000" w:rsidR="00000000" w:rsidRPr="00000000">
        <w:rPr>
          <w:rtl w:val="0"/>
        </w:rPr>
        <w:t xml:space="preserve">This wave of selling completely overwhelmed the balance sheet capacity of the primary dealers who are obligated to make markets in these securities. As dealers' inventories swelled, their ability to warehouse more risk vanished. The result was a complete breakdown in Treasury market functioning. Bid-ask spreads widened to levels many times their normal size, market depth evaporated, and yields became dislocated from one another, indicating severe illiquidity in what is supposed to be the world's benchmark risk-free market.</w:t>
      </w:r>
    </w:p>
    <w:p w:rsidR="00000000" w:rsidDel="00000000" w:rsidP="00000000" w:rsidRDefault="00000000" w:rsidRPr="00000000" w14:paraId="000000FD">
      <w:pPr>
        <w:pStyle w:val="Heading4"/>
        <w:spacing w:before="0" w:lineRule="auto"/>
        <w:rPr/>
      </w:pPr>
      <w:r w:rsidDel="00000000" w:rsidR="00000000" w:rsidRPr="00000000">
        <w:rPr>
          <w:rtl w:val="0"/>
        </w:rPr>
        <w:t xml:space="preserve">The Response and Securities Finance Impact</w:t>
      </w:r>
    </w:p>
    <w:p w:rsidR="00000000" w:rsidDel="00000000" w:rsidP="00000000" w:rsidRDefault="00000000" w:rsidRPr="00000000" w14:paraId="000000FE">
      <w:pPr>
        <w:rPr/>
      </w:pPr>
      <w:r w:rsidDel="00000000" w:rsidR="00000000" w:rsidRPr="00000000">
        <w:rPr>
          <w:rtl w:val="0"/>
        </w:rPr>
        <w:t xml:space="preserve">The Federal Reserve responded with overwhelming force, announcing it would purchase assets "in the amounts needed to support smooth market functioning" and ultimately buying over $1 trillion of Treasuries and MBS in a matter of weeks. The Fed also reactivated a host of crisis-era facilities to backstop every major credit market, from commercial paper to municipal bonds.</w:t>
      </w:r>
    </w:p>
    <w:p w:rsidR="00000000" w:rsidDel="00000000" w:rsidP="00000000" w:rsidRDefault="00000000" w:rsidRPr="00000000" w14:paraId="000000FF">
      <w:pPr>
        <w:spacing w:after="240" w:lineRule="auto"/>
        <w:rPr/>
      </w:pPr>
      <w:r w:rsidDel="00000000" w:rsidR="00000000" w:rsidRPr="00000000">
        <w:rPr>
          <w:rtl w:val="0"/>
        </w:rPr>
        <w:t xml:space="preserve">This episode highlighted the supreme importance of collateral quality and the dangers of liquidity mismatches. While the Treasury market seized, markets for lower-quality collateral, such as Collateralized Loan Obligations (CLOs), experienced massive downgrades and severe stress as the underlying leveraged loans defaulted. The crisis triggered enormous margin calls across the derivatives and securities financing landscape, amplifying the dash for cash. The event demonstrated that even the highest-quality collateral is not immune to illiquidity when funding pressures become sufficiently extreme, underscoring the interconnectedness of funding liquidity (the availability of cash) and market liquidity (the ability to transact in an asset).</w:t>
      </w:r>
    </w:p>
    <w:p w:rsidR="00000000" w:rsidDel="00000000" w:rsidP="00000000" w:rsidRDefault="00000000" w:rsidRPr="00000000" w14:paraId="00000100">
      <w:pPr>
        <w:pStyle w:val="Heading3"/>
        <w:spacing w:before="0" w:lineRule="auto"/>
        <w:rPr/>
      </w:pPr>
      <w:r w:rsidDel="00000000" w:rsidR="00000000" w:rsidRPr="00000000">
        <w:rPr>
          <w:rtl w:val="0"/>
        </w:rPr>
        <w:t xml:space="preserve">Chapter 15: The Horizon: The Potential Impact of Central Bank Digital Currencies (CBDCs)</w:t>
      </w:r>
    </w:p>
    <w:p w:rsidR="00000000" w:rsidDel="00000000" w:rsidP="00000000" w:rsidRDefault="00000000" w:rsidRPr="00000000" w14:paraId="00000101">
      <w:pPr>
        <w:spacing w:after="255" w:lineRule="auto"/>
        <w:rPr/>
      </w:pPr>
      <w:r w:rsidDel="00000000" w:rsidR="00000000" w:rsidRPr="00000000">
        <w:rPr>
          <w:rtl w:val="0"/>
        </w:rPr>
        <w:t xml:space="preserve">Looking forward, one of the most significant potential structural changes to the monetary plumbing is the introduction of a Central Bank Digital Currency (CBDC). While still in exploratory stages in most major economies, a CBDC could fundamentally alter the financial landscape, with profound implications for repo and securities finance markets.</w:t>
      </w:r>
    </w:p>
    <w:p w:rsidR="00000000" w:rsidDel="00000000" w:rsidP="00000000" w:rsidRDefault="00000000" w:rsidRPr="00000000" w14:paraId="00000102">
      <w:pPr>
        <w:pStyle w:val="Heading4"/>
        <w:spacing w:before="0" w:lineRule="auto"/>
        <w:rPr/>
      </w:pPr>
      <w:r w:rsidDel="00000000" w:rsidR="00000000" w:rsidRPr="00000000">
        <w:rPr>
          <w:rtl w:val="0"/>
        </w:rPr>
        <w:t xml:space="preserve">Potential Impacts on Securities Financing Transactions</w:t>
      </w:r>
    </w:p>
    <w:p w:rsidR="00000000" w:rsidDel="00000000" w:rsidP="00000000" w:rsidRDefault="00000000" w:rsidRPr="00000000" w14:paraId="00000103">
      <w:pPr>
        <w:rPr/>
      </w:pPr>
      <w:r w:rsidDel="00000000" w:rsidR="00000000" w:rsidRPr="00000000">
        <w:rPr>
          <w:rtl w:val="0"/>
        </w:rPr>
        <w:t xml:space="preserve">A CBDC could be designed in many ways, but the distinction between a "retail" CBDC (for the general public) and a "wholesale" CBDC (for financial institutions) is key.</w:t>
      </w:r>
    </w:p>
    <w:p w:rsidR="00000000" w:rsidDel="00000000" w:rsidP="00000000" w:rsidRDefault="00000000" w:rsidRPr="00000000" w14:paraId="00000104">
      <w:pPr>
        <w:numPr>
          <w:ilvl w:val="0"/>
          <w:numId w:val="2"/>
        </w:numPr>
        <w:ind w:left="600" w:hanging="360"/>
        <w:rPr/>
      </w:pPr>
      <w:r w:rsidDel="00000000" w:rsidR="00000000" w:rsidRPr="00000000">
        <w:rPr>
          <w:b w:val="1"/>
          <w:rtl w:val="0"/>
        </w:rPr>
        <w:t xml:space="preserve">Disintermediation Risk:</w:t>
      </w:r>
      <w:r w:rsidDel="00000000" w:rsidR="00000000" w:rsidRPr="00000000">
        <w:rPr>
          <w:rtl w:val="0"/>
        </w:rPr>
        <w:t xml:space="preserve"> A primary concern surrounding a widely available, interest-bearing retail CBDC is the risk of bank disintermediation. If the public can hold a perfectly safe and liquid liability of the central bank, they may choose to shift their funds out of commercial bank deposits and into CBDC, particularly during times of stress. This could lead to a structural reduction in the deposit funding base of commercial banks, shrinking their balance sheets and potentially reducing their capacity for market-making and intermediation in SFT markets.</w:t>
      </w:r>
    </w:p>
    <w:p w:rsidR="00000000" w:rsidDel="00000000" w:rsidP="00000000" w:rsidRDefault="00000000" w:rsidRPr="00000000" w14:paraId="00000105">
      <w:pPr>
        <w:numPr>
          <w:ilvl w:val="0"/>
          <w:numId w:val="2"/>
        </w:numPr>
        <w:ind w:left="600" w:hanging="360"/>
        <w:rPr/>
      </w:pPr>
      <w:r w:rsidDel="00000000" w:rsidR="00000000" w:rsidRPr="00000000">
        <w:rPr>
          <w:b w:val="1"/>
          <w:rtl w:val="0"/>
        </w:rPr>
        <w:t xml:space="preserve">Changes in Monetary Policy Implementation:</w:t>
      </w:r>
      <w:r w:rsidDel="00000000" w:rsidR="00000000" w:rsidRPr="00000000">
        <w:rPr>
          <w:rtl w:val="0"/>
        </w:rPr>
        <w:t xml:space="preserve"> The introduction of a CBDC would significantly alter the demand for and supply of bank reserves and other central bank liabilities. It could lead to larger and more volatile fluctuations in reserves, potentially forcing the Fed to maintain a larger balance sheet permanently or redesign its operating framework to control short-term interest rates. Any change to the core dynamics of wholesale funding rates would have a direct impact on the pricing of repo and securities lending transactions.</w:t>
      </w:r>
    </w:p>
    <w:p w:rsidR="00000000" w:rsidDel="00000000" w:rsidP="00000000" w:rsidRDefault="00000000" w:rsidRPr="00000000" w14:paraId="00000106">
      <w:pPr>
        <w:numPr>
          <w:ilvl w:val="0"/>
          <w:numId w:val="2"/>
        </w:numPr>
        <w:ind w:left="600" w:hanging="360"/>
        <w:rPr/>
      </w:pPr>
      <w:r w:rsidDel="00000000" w:rsidR="00000000" w:rsidRPr="00000000">
        <w:rPr>
          <w:b w:val="1"/>
          <w:rtl w:val="0"/>
        </w:rPr>
        <w:t xml:space="preserve">Opportunities in Settlement:</w:t>
      </w:r>
      <w:r w:rsidDel="00000000" w:rsidR="00000000" w:rsidRPr="00000000">
        <w:rPr>
          <w:rtl w:val="0"/>
        </w:rPr>
        <w:t xml:space="preserve"> A wholesale CBDC, or a system of tokenized assets operating on a unified ledger with the central bank, could offer significant improvements to the settlement process. It could facilitate "atomic settlement," where the transfer of a security (delivery) and the transfer of cash (payment) occur simultaneously and irrevocably. This would virtually eliminate principal and settlement risk in SFTs, potentially reducing the need for costly and balance-sheet-intensive intermediation by clearing banks and CCPs. Such a system could increase the velocity and efficiency of collateral movements throughout the financial system.</w:t>
      </w:r>
    </w:p>
    <w:p w:rsidR="00000000" w:rsidDel="00000000" w:rsidP="00000000" w:rsidRDefault="00000000" w:rsidRPr="00000000" w14:paraId="00000107">
      <w:pPr>
        <w:spacing w:after="240" w:lineRule="auto"/>
        <w:rPr/>
      </w:pPr>
      <w:r w:rsidDel="00000000" w:rsidR="00000000" w:rsidRPr="00000000">
        <w:rPr>
          <w:rtl w:val="0"/>
        </w:rPr>
        <w:t xml:space="preserve">The ultimate impact of a CBDC on securities finance is far from certain and will depend on critical design choices made by central banks. Key parameters, such as whether a CBDC is remunerated, whether there are limits on individual holdings, and the degree of anonymity, will determine its attractiveness as a store of value versus a pure means of payment. It is imperative for participants in the securities financing industry to engage in the ongoing policy debate to ensure that any future design of the monetary plumbing accounts for the critical functions of collateral and secured funding markets.</w:t>
      </w:r>
    </w:p>
    <w:p w:rsidR="00000000" w:rsidDel="00000000" w:rsidP="00000000" w:rsidRDefault="00000000" w:rsidRPr="00000000" w14:paraId="00000108">
      <w:pPr>
        <w:pStyle w:val="Heading3"/>
        <w:spacing w:before="0" w:lineRule="auto"/>
        <w:rPr/>
      </w:pPr>
      <w:r w:rsidDel="00000000" w:rsidR="00000000" w:rsidRPr="00000000">
        <w:rPr>
          <w:rtl w:val="0"/>
        </w:rPr>
        <w:t xml:space="preserve">Conclusion</w:t>
      </w:r>
    </w:p>
    <w:p w:rsidR="00000000" w:rsidDel="00000000" w:rsidP="00000000" w:rsidRDefault="00000000" w:rsidRPr="00000000" w14:paraId="00000109">
      <w:pPr>
        <w:rPr/>
      </w:pPr>
      <w:r w:rsidDel="00000000" w:rsidR="00000000" w:rsidRPr="00000000">
        <w:rPr>
          <w:rtl w:val="0"/>
        </w:rPr>
        <w:t xml:space="preserve">The monetary plumbing of the financial system, though complex, is not an indecipherable black box. It is a system governed by observable principles and driven by the interactions of a few key actors. By systematically monitoring the Federal Reserve's balance sheet, interpreting the spreads between key money market rates, and understanding the dynamics of collateral, it is possible to construct a robust, real-time picture of systemic liquidity and risk.</w:t>
      </w:r>
    </w:p>
    <w:p w:rsidR="00000000" w:rsidDel="00000000" w:rsidP="00000000" w:rsidRDefault="00000000" w:rsidRPr="00000000" w14:paraId="0000010A">
      <w:pPr>
        <w:rPr/>
      </w:pPr>
      <w:r w:rsidDel="00000000" w:rsidR="00000000" w:rsidRPr="00000000">
        <w:rPr>
          <w:rtl w:val="0"/>
        </w:rPr>
        <w:t xml:space="preserve">This report has laid out a comprehensive framework for achieving this. It began by deconstructing the system's architecture, identifying the key participants and the benchmark interest rates that serve as its price signals. It then delved into the operational mechanics of the Federal Reserve in the modern ample reserves era, demonstrating how the interplay between the Fed's assets, the ON RRP facility, and the Treasury General Account determines the level of liquidity available to the banking system.</w:t>
      </w:r>
    </w:p>
    <w:p w:rsidR="00000000" w:rsidDel="00000000" w:rsidP="00000000" w:rsidRDefault="00000000" w:rsidRPr="00000000" w14:paraId="0000010B">
      <w:pPr>
        <w:rPr/>
      </w:pPr>
      <w:r w:rsidDel="00000000" w:rsidR="00000000" w:rsidRPr="00000000">
        <w:rPr>
          <w:rtl w:val="0"/>
        </w:rPr>
        <w:t xml:space="preserve">The core of the analysis provided a toolkit for signal extraction, translating raw data into meaningful indicators of funding stress, collateral scarcity, and dealer balance sheet constraints. Most critically, it established the direct transmission channels through which these macroeconomic signals propagate into the micro-level dynamics of the securities finance market. The repo market's "specialness spread" was identified as a powerful leading indicator for securities lending fees, while measures of dealer balance sheet capacity were shown to predict periods of higher general borrowing costs.</w:t>
      </w:r>
    </w:p>
    <w:p w:rsidR="00000000" w:rsidDel="00000000" w:rsidP="00000000" w:rsidRDefault="00000000" w:rsidRPr="00000000" w14:paraId="0000010C">
      <w:pPr>
        <w:rPr/>
      </w:pPr>
      <w:r w:rsidDel="00000000" w:rsidR="00000000" w:rsidRPr="00000000">
        <w:rPr>
          <w:rtl w:val="0"/>
        </w:rPr>
        <w:t xml:space="preserve">The case studies of the September 2019 repo spike and the March 2020 dash for cash validated the framework's utility, illustrating how monitoring these signals could have provided advance warning of impending market dislocations. Looking ahead, this same framework provides a valuable lens for analyzing the potential impacts of future structural changes, such as the introduction of a CBDC.</w:t>
      </w:r>
    </w:p>
    <w:p w:rsidR="00000000" w:rsidDel="00000000" w:rsidP="00000000" w:rsidRDefault="00000000" w:rsidRPr="00000000" w14:paraId="0000010D">
      <w:pPr>
        <w:spacing w:after="255" w:lineRule="auto"/>
        <w:rPr/>
      </w:pPr>
      <w:r w:rsidDel="00000000" w:rsidR="00000000" w:rsidRPr="00000000">
        <w:rPr>
          <w:rtl w:val="0"/>
        </w:rPr>
        <w:t xml:space="preserve">For the securities finance professional, the key takeaway is that the conditions in their market are not determined in a vacuum. They are deeply and inextricably linked to the broader flows of cash and collateral coursing through the financial plumbing. By adopting the data-driven, systematic approach outlined in this report, it is possible to move from being a passive observer of these forces to an informed practitioner capable of anticipating their impact and making more strategic, data-driven decisions. The path from novice to expert in the world of monetary plumbing begins with a disciplined commitment to watching the flows.</w:t>
      </w:r>
    </w:p>
    <w:p w:rsidR="00000000" w:rsidDel="00000000" w:rsidP="00000000" w:rsidRDefault="00000000" w:rsidRPr="00000000" w14:paraId="0000010E">
      <w:pPr>
        <w:spacing w:after="255" w:lineRule="auto"/>
        <w:rPr/>
      </w:pPr>
      <w:r w:rsidDel="00000000" w:rsidR="00000000" w:rsidRPr="00000000">
        <w:rPr>
          <w:rtl w:val="0"/>
        </w:rPr>
      </w:r>
    </w:p>
    <w:p w:rsidR="00000000" w:rsidDel="00000000" w:rsidP="00000000" w:rsidRDefault="00000000" w:rsidRPr="00000000" w14:paraId="0000010F">
      <w:pPr>
        <w:spacing w:after="255" w:lineRule="auto"/>
        <w:rPr/>
      </w:pPr>
      <w:r w:rsidDel="00000000" w:rsidR="00000000" w:rsidRPr="00000000">
        <w:rPr>
          <w:rtl w:val="0"/>
        </w:rPr>
      </w:r>
    </w:p>
    <w:p w:rsidR="00000000" w:rsidDel="00000000" w:rsidP="00000000" w:rsidRDefault="00000000" w:rsidRPr="00000000" w14:paraId="00000110">
      <w:pPr>
        <w:spacing w:after="255" w:lineRule="auto"/>
        <w:rPr/>
      </w:pPr>
      <w:r w:rsidDel="00000000" w:rsidR="00000000" w:rsidRPr="00000000">
        <w:rPr>
          <w:rtl w:val="0"/>
        </w:rPr>
      </w:r>
    </w:p>
    <w:p w:rsidR="00000000" w:rsidDel="00000000" w:rsidP="00000000" w:rsidRDefault="00000000" w:rsidRPr="00000000" w14:paraId="00000111">
      <w:pPr>
        <w:spacing w:after="255" w:lineRule="auto"/>
        <w:rPr/>
      </w:pPr>
      <w:r w:rsidDel="00000000" w:rsidR="00000000" w:rsidRPr="00000000">
        <w:rPr>
          <w:rtl w:val="0"/>
        </w:rPr>
      </w:r>
    </w:p>
    <w:p w:rsidR="00000000" w:rsidDel="00000000" w:rsidP="00000000" w:rsidRDefault="00000000" w:rsidRPr="00000000" w14:paraId="00000112">
      <w:pPr>
        <w:spacing w:after="255" w:lineRule="auto"/>
        <w:rPr/>
      </w:pPr>
      <w:r w:rsidDel="00000000" w:rsidR="00000000" w:rsidRPr="00000000">
        <w:rPr>
          <w:rtl w:val="0"/>
        </w:rPr>
      </w:r>
    </w:p>
    <w:p w:rsidR="00000000" w:rsidDel="00000000" w:rsidP="00000000" w:rsidRDefault="00000000" w:rsidRPr="00000000" w14:paraId="00000113">
      <w:pPr>
        <w:spacing w:after="255" w:lineRule="auto"/>
        <w:rPr/>
      </w:pPr>
      <w:r w:rsidDel="00000000" w:rsidR="00000000" w:rsidRPr="00000000">
        <w:rPr>
          <w:rtl w:val="0"/>
        </w:rPr>
      </w:r>
    </w:p>
    <w:p w:rsidR="00000000" w:rsidDel="00000000" w:rsidP="00000000" w:rsidRDefault="00000000" w:rsidRPr="00000000" w14:paraId="00000114">
      <w:pPr>
        <w:spacing w:after="255" w:lineRule="auto"/>
        <w:rPr/>
      </w:pPr>
      <w:r w:rsidDel="00000000" w:rsidR="00000000" w:rsidRPr="00000000">
        <w:rPr>
          <w:rtl w:val="0"/>
        </w:rPr>
      </w:r>
    </w:p>
    <w:p w:rsidR="00000000" w:rsidDel="00000000" w:rsidP="00000000" w:rsidRDefault="00000000" w:rsidRPr="00000000" w14:paraId="00000115">
      <w:pPr>
        <w:spacing w:after="255" w:lineRule="auto"/>
        <w:rPr/>
      </w:pPr>
      <w:r w:rsidDel="00000000" w:rsidR="00000000" w:rsidRPr="00000000">
        <w:rPr>
          <w:rtl w:val="0"/>
        </w:rPr>
      </w:r>
    </w:p>
    <w:p w:rsidR="00000000" w:rsidDel="00000000" w:rsidP="00000000" w:rsidRDefault="00000000" w:rsidRPr="00000000" w14:paraId="00000116">
      <w:pPr>
        <w:spacing w:after="255" w:lineRule="auto"/>
        <w:rPr/>
      </w:pPr>
      <w:r w:rsidDel="00000000" w:rsidR="00000000" w:rsidRPr="00000000">
        <w:rPr>
          <w:rtl w:val="0"/>
        </w:rPr>
      </w:r>
    </w:p>
    <w:p w:rsidR="00000000" w:rsidDel="00000000" w:rsidP="00000000" w:rsidRDefault="00000000" w:rsidRPr="00000000" w14:paraId="00000117">
      <w:pPr>
        <w:spacing w:after="255" w:lineRule="auto"/>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72"/>
          <w:szCs w:val="72"/>
          <w:u w:val="none"/>
          <w:shd w:fill="auto" w:val="clear"/>
          <w:vertAlign w:val="baseline"/>
        </w:rPr>
      </w:pPr>
      <w:bookmarkStart w:colFirst="0" w:colLast="0" w:name="_heading=h.8bp051t9apyp" w:id="0"/>
      <w:bookmarkEnd w:id="0"/>
      <w:r w:rsidDel="00000000" w:rsidR="00000000" w:rsidRPr="00000000">
        <w:rPr>
          <w:rFonts w:ascii="Arial" w:cs="Arial" w:eastAsia="Arial" w:hAnsi="Arial"/>
          <w:b w:val="1"/>
          <w:i w:val="0"/>
          <w:smallCaps w:val="0"/>
          <w:strike w:val="0"/>
          <w:color w:val="000000"/>
          <w:sz w:val="72"/>
          <w:szCs w:val="72"/>
          <w:u w:val="none"/>
          <w:shd w:fill="auto" w:val="clear"/>
          <w:vertAlign w:val="baseline"/>
          <w:rtl w:val="0"/>
        </w:rPr>
        <w:t xml:space="preserve">Tab 2</w:t>
      </w:r>
    </w:p>
    <w:p w:rsidR="00000000" w:rsidDel="00000000" w:rsidP="00000000" w:rsidRDefault="00000000" w:rsidRPr="00000000" w14:paraId="00000119">
      <w:pPr>
        <w:pStyle w:val="Heading4"/>
        <w:spacing w:before="0" w:lineRule="auto"/>
        <w:rPr/>
      </w:pPr>
      <w:bookmarkStart w:colFirst="0" w:colLast="0" w:name="_heading=h.wldzmd74jrxj" w:id="1"/>
      <w:bookmarkEnd w:id="1"/>
      <w:r w:rsidDel="00000000" w:rsidR="00000000" w:rsidRPr="00000000">
        <w:rPr>
          <w:rtl w:val="0"/>
        </w:rPr>
        <w:t xml:space="preserve">Works cited</w:t>
      </w:r>
    </w:p>
    <w:p w:rsidR="00000000" w:rsidDel="00000000" w:rsidP="00000000" w:rsidRDefault="00000000" w:rsidRPr="00000000" w14:paraId="0000011A">
      <w:pPr>
        <w:rPr/>
      </w:pPr>
      <w:r w:rsidDel="00000000" w:rsidR="00000000" w:rsidRPr="00000000">
        <w:rPr>
          <w:rtl w:val="0"/>
        </w:rPr>
        <w:t xml:space="preserve">1. Replumbing Our Financial System: Uneven Progress - International Journal of Central Banking, https://www.ijcb.org/journal/ijcb13q0a12.pdf 2. FRB: Central Banking Before, During and After the Crisis Conference: Screen Reader Version - Replumbing Our Financial System: Uneven Progress, https://www.federalreserve.gov/Events/conferences/2012/cbc/confpaper5/confpaper5.html 3. The Fed Explained: What the Central Bank Does - Federal Reserve ..., https://www.federalreserve.gov/aboutthefed/files/the-fed-explained.pdf 4. Tracker: The Federal Reserve's Balance Sheet Assets - AAF - The American Action Forum, https://www.americanactionforum.org/insight/tracker-the-federal-reserves-balance-sheet/ 5. Repo and Securities Lending - Federal Reserve Bank of New York, https://www.newyorkfed.org/medialibrary/media/research/staff_reports/sr529.pdf 6. Security Market: an Overview of Repo and Security Lending Transactions - AWS, https://iason-onigiri-prod.s3.eu-south-1.amazonaws.com/2019_Security_Market_an_Overview_of_Repo_and_Security_Lending_Transactions_33bb804197.pdf 7. Velocity of Pledged Collateral in: IMF Working Papers Volume 2011 Issue 256 (2011), https://www.elibrary.imf.org/view/journals/001/2011/256/article-A001-en.xml 8. Repurchase Agreement (Repo): Definition, Examples, and Risks - Investopedia, https://www.investopedia.com/terms/r/repurchaseagreement.asp 9. Collateral transactions and shadow banking - Scholarly Publications Leiden University, https://scholarlypublications.universiteitleiden.nl/access/item%3A3217151/view 10. Emerging Market Securities Access to Global Plumbing, WP/21/94, March 2021, https://www.imf.org/-/media/Files/Publications/WP/2021/English/wpiea2021094-print-pdf.ashx 11. A Map of Collateral Uses and Flows - Office of Financial Research ..., https://www.financialresearch.gov/working-papers/files/OFRwp-2016-06_Map-of-Collateral-Uses.pdf 12. STIR Futures &amp; Options: Overview and Examples of in Options, https://www.investopedia.com/terms/s/stir.asp 13. Short Term Interest Rate (“STIR”) Futures - ICE Futures Europe (“IFEU”), https://www.ice.com/publicdocs/futures/Futures_Europe_STIR_Futures_KIDs.pdf 14. Federal Funds Rate: What It Is, How It's Determined, and Why It's Important - Investopedia, https://www.investopedia.com/terms/f/federalfundsrate.asp 15. What Is The Effective Federal Funds Rate (EFFR)? | Financial Glossary - Equals Money, https://equalsmoney.com/financial-glossary/effective-federal-funds-rate 16. Effective Federal Funds Rate | FRED | St. Louis Fed, https://fred.stlouisfed.org/graph/?g=ZYrN 17. Effective Federal Funds Rate - FEDERAL RESERVE BANK of NEW YORK, https://www.newyorkfed.org/markets/reference-rates/effr 18. Overnight Bank Funding Rate - Federal Reserve Bank of New York, https://www.newyorkfed.org/markets/reference-rates/obfr 19. www.newyorkfed.org, https://www.newyorkfed.org/markets/reference-rates#:~:text=The%20OBFR%20is%20calculated%20using,unsecured%20borrowings%20of%20U.S.%20dollars 20. OFR short-term Funding Monitor - Federal Reserve Bank of New ..., https://www.financialresearch.gov/short-term-funding-monitor/datasets/fnyr/ 21. OFR short-term Funding Monitor - Federal Reserve Bank of New York reference rates, https://www.financialresearch.gov/short-term-funding-monitor/market-digests/rates/chart-17/ 22. Secured Overnight Financing Rate Data - FEDERAL RESERVE BANK of NEW YORK, https://www.newyorkfed.org/markets/reference-rates/sofr 23. What is the repo market, and why does it matter? - Brookings Institution, https://www.brookings.edu/articles/what-is-the-repo-market-and-why-does-it-matter/ 24. Securities Lending Definition: How It Works - Investopedia, https://www.investopedia.com/terms/s/securitieslending.asp 25. The Federal Reserve Balance Sheet Explained - Investopedia, https://www.investopedia.com/articles/economics/10/understanding-the-fed-balance-sheet.asp 26. Data - Federal Reserve Board, https://www.federalreserve.gov/data.htm 27. The Fed's Balance Sheet and Quantitative Tightening | Congress.gov, https://www.congress.gov/crs-product/IF12147 28. Recent balance sheet trends - Federal Reserve Board, https://www.federalreserve.gov/monetarypolicy/bst_recenttrends.htm 29. Repo and Reverse Repo Agreements - FEDERAL RESERVE BANK of NEW YORK, https://www.newyorkfed.org/markets/domestic-market-operations/monetary-policy-implementation/repo-reverse-repo-agreements 30. What Is a Reverse Repurchase Agreement (RRP)? How It Works, With Example, https://www.investopedia.com/terms/r/reverserepurchaseagreement.asp 31. Lessons in monetary plumbing with Andy Constan - Blockworks, https://blockworks.co/news/monetary-plumbing-takeaways 32. The Fed - What Happened in Money Markets in September 2019? - Federal Reserve Board, https://www.federalreserve.gov/econres/notes/feds-notes/what-Happened-in-Money-Markets-in-September-2019-20200227.htm 33. US - Federal Fund Interest Rates - MacroMicro, https://en.macromicro.me/charts/17668/us-fed-fund-interest-rate 34. The Fed - The Recent Evolution of the Federal Funds Market and its Dynamics during Reductions of the Federal Reserve's Balance Sheet, https://www.federalreserve.gov/econres/notes/feds-notes/the-recent-evolution-of-the-federal-funds-market-and-its-dynamics-during-reductions-of-fr-balance-sheet-20240711.html 35. FAQs: Reverse Repurchase Agreement Operations - Federal Reserve Bank of New York, https://www.newyorkfed.org/markets/rrp_faq 36. Overnight Reverse Repurchase Agreements: Treasury Securities Sold by the Federal Reserve in the Temporary Open Market Operations (RRPONTSYD) | FRED, https://fred.stlouisfed.org/series/RRPONTSYD 37. Rewiring repo - Federal Reserve Board, https://www.federalreserve.gov/econres/feds/files/2025013pap.pdf 38. The Federal Reserve's Response to COVID-19: Policy Issues, https://case.house.gov/uploadedfiles/r46411_fed_reserve.pdf 39. Collateral and Monetary Policy, https://www.imf.org/en/Publications/WP/Issues/2016/12/31/Collateral-and-Monetary-Policy-40898 40. Impact of monetary policy on collateral reuse - Journal of Financial Market Infrastructures, https://www.risk.net/journal-of-financial-market-infrastructures/2468960/impact-of-monetary-policy-on-collateral-reuse 41. On collateral: implications for financial stability and monetary policy - European Central Bank, https://www.ecb.europa.eu/pub/pdf/scpwps/ecb.wp2107.en.pdf 42. The Federal Reserve's Target Interest Rate, https://www.federalreserve.gov/monetarypolicy/files/FOMC20181019memo01.pdf 43. Understanding Recent Fluctuations in Short-Term Interest Rates ..., https://www.chicagofed.org/publications/chicago-fed-letter/2019/423 44. Frequently Asked Questions on Repo - ICMA, https://www.icmagroup.org/assets/documents/Regulatory/Repo/Repo-FAQs-January-2019.pdf 45. OFR Identifies Factors That May Have Contributed to the 2019 Spike in Repo Rates, https://www.financialresearch.gov/the-ofr-blog/2023/04/25/ofr-identifies-factors-that-may-have-contributed-to-the-2019-spike-in-repo-rates/ 46. Safe Asset Shortage and collateral re-use - European Central Bank, https://www.ecb.europa.eu/press/conferences/shared/pdf/20201123_money_markets/Jank_Moench_Schneider_Paper.pdf 47. Safe asset shortage and collateral reuse - EconStor, https://www.econstor.eu/bitstream/10419/262212/1/1813291853.pdf 48. Safe Asset Shortage and Collateral Reuse | Working Papers, https://safe-frankfurt.de/publications/working-papers/details/publicationname/safe-asset-shortage-and-collateral-reuse.html 49. Safe Asset Shortage and Collateral Reuse, https://publikationen.ub.uni-frankfurt.de/opus4/frontdoor/deliver/index/docId/64742/file/SSRN-id4179038.pdf 50. Loan collateral decisions and corporate borrowing costs - Arizona State University, https://asu.elsevierpure.com/en/publications/loan-collateral-decisions-and-corporate-borrowing-costs 51. The Shadow Cost of Collateral - FDIC, https://www.fdic.gov/analysis/cfr/bank-research-conference/annual-21st/papers/pan-paper.pdf 52. Monetary Transmission through Bank Securities Portfolios - Federal ..., https://www.frbsf.org/wp-content/uploads/wp2023-18.pdf 53. (PDF) The Cost of Consumer Collateral: Evidence From Bunching - ResearchGate, https://www.researchgate.net/publication/392317793_The_Cost_of_Consumer_Collateral_Evidence_From_Bunching 54. Collateral Quality and House Prices*†, https://cicm.pbcsf.tsinghua.edu.cn/__local/3/ED/9A/C0B166C86AFC458A90DBDB291B2_A8129B4F_B1FD7.pdf?e=.pdf 55. Collateral Quality and Intervention Traps - University of Texas at Austin, https://sites.utexas.edu/danielneuhann/files/2022/10/CQual_Final.pdf 56. Asset prices, collateral and bank lending: the case of Covid-19 and real estate, https://www.ecb.europa.eu/pub/pdf/scpwps/ecb.wp2823~0a128abbd2.en.pdf 57. Liquidity in the Mortgage Market: How does the COVID-19 Crisis Compare with the Global Financial Crisis? - Federal Reserve Board, https://www.federalreserve.gov/econres/feds/files/2022039pap.pdf 58. REPO MARKET FUNCTIONING: THE ROLE OF CAPITAL ..., https://www.bis.org/events/confresearchnetwork1809/van_horen.pdf 59. IMPACT OF RECENT REGULATION ON REPO MARKET ACTIVITY FROM THE PERSPECTIVE OF A NON BANK PARTICIPANT, https://www.ecb.europa.eu/paym/groups/pdf/bmcg/160621/2016-06-21_-_Item%204.1._-_Impact_of_the_recent_regulation_on_repo_for_insurance_companies.pdf?0c9e51d9a7b63c3c84f0099091cd9fa2 60. Repo market functioning - Bank for International Settlements, https://www.bis.org/publ/cgfs59.pdf 61. FSB Securities Lending and Repos: Market Overview and Financial ..., https://www.fsb.org/wp-content/uploads/r_120427.pdf 62. How Monetary Policy Affects Investments - Investopedia, https://www.investopedia.com/articles/investing/052813/how-monetary-policy-affects-your-investments.asp 63. How Does Monetary Policy Affect Prices of Corporate Loans? - Federal Reserve Board, https://www.federalreserve.gov/econres/feds/files/2022008pap.pdf 64. The Fed - Monetary Policy Tightening and Debt Servicing Costs of Nonfinancial Companies, https://www.federalreserve.gov/econres/notes/feds-notes/monetary-policy-tightening-and-debt-servicing-costs-of-nonfinancial-companies-20231201.html 65. Impact of Rate Cuts on Securities Lending - DataLend, https://datalend.com/impact-of-rate-cuts-on-securities-lending/ 66. The repo market under Basel III | Bank of England, https://www.bankofengland.co.uk/working-paper/2021/the-repo-market-under-basel-iii 67. The Fed - What Happened in Money Markets in September 2019?, https://www.federalreserve.gov/econres/notes/feds-notes/what-happened-in-money-markets-in-september-2019-20200227.html 68. September 2019 events in the U.S. repo market - Wikipedia, https://en.wikipedia.org/wiki/September_2019_events_in_the_U.S._repo_market 69. The Market Events of Mid-September 2019 - Federal Reserve Bank of New York, https://www.newyorkfed.org/medialibrary/media/research/epr/2021/epr_2021_market-events_afonso.pdf 70. Repo Rate Spikes: A Puzzle for Policymakers - Federal Reserve Bank of Richmond, https://www.richmondfed.org/publications/research/econ_focus/2019/q4/opinion 71. What did the Fed do in response to the COVID-19 crisis? - Brookings Institution, https://www.brookings.edu/articles/fed-response-to-covid19/ 72. The Global Dash for Cash in March 2020 - Liberty Street Economics, https://libertystreeteconomics.newyorkfed.org/2022/07/the-global-dash-for-cash-in-march-2020/ 73. Still the World's Safe Haven? - Brookings Institution, https://www.brookings.edu/wp-content/uploads/2020/05/WP62_Duffie_v2.pdf 74. COVID-19 Impacts on the CLO Market - Loomis Sayles, https://info.loomissayles.com/covid-19-impacts-on-the-clo-market 75. Liquidity Preparedness for Margin and Collateral Calls: Final report - Financial Stability Board, https://www.fsb.org/uploads/P101224-1.pdf 76. A First Look at Central Bank Digital Currencies and the Repo Markets - Finadium, https://finadium.com/finadium-report-desc/a-first-look-at-central-bank-digital-currencies-and-the-repo-markets/ 77. Examining the effects/implications of CBDCs, AI, and Zero-Knowledge Proofs in the cyber-fraud space along with other current trends and recent case rulings - Homeland Security, https://www.dhs.gov/sites/default/files/2024-09/2024aepphaselllcombattingillicitactivityutilizingfinancial.pdf 78. Retail Central Bank Digital Currencies: Implications for Banking and Financial Stability - Federal Reserve Board, https://www.federalreserve.gov/econres/feds/files/2023072pap.pdf 79. Central Bank Digital Currencies and Financial Stability: Balance Sheet Analysis and Policy Choices - International Monetary Fund (IMF), https://www.imf.org/-/media/Files/Publications/WP/2024/English/wpiea2024226-print-pdf.ashx 80. GFMA Considerations for Developing Central Bank Digital Currencies (CBDCs), https://www.gfma.org/wp-content/uploads/2021/08/gfma-considerations-for-developing-cbdcs-august-2021.pdf 81. Implications of Central Bank Digital Currency for Monetary Operations, https://www.imf.org/-/media/Files/Publications/FTN063/2024/English/FTNEA2024007.ashx 82. The Effects of CBDC on the Federal Reserve's Balance Sheet, https://www.federalreserve.gov/econres/feds/files/2023068pap.pdf 83. III. The next-generation monetary and financial system - Bank for International Settlements, https://www.bis.org/publ/arpdf/ar2025e3.htm 84. The impact of central bank digital currency on central bank profitability, risk-taking and capital, https://www.ecb.europa.eu/pub/pdf/scpops/ecb.op360~35915b25bd.en.pdf 85. Central bank digital currencies: financial stability implications</w:t>
      </w:r>
      <w:hyperlink r:id="rId8">
        <w:r w:rsidDel="00000000" w:rsidR="00000000" w:rsidRPr="00000000">
          <w:rPr>
            <w:color w:val="1155cc"/>
            <w:u w:val="single"/>
            <w:rtl w:val="0"/>
          </w:rPr>
          <w:t xml:space="preserve">https://www.bis.org/publ/othp42_fin_stab.p</w:t>
        </w:r>
      </w:hyperlink>
      <w:r w:rsidDel="00000000" w:rsidR="00000000" w:rsidRPr="00000000">
        <w:rPr>
          <w:rtl w:val="0"/>
        </w:rPr>
        <w:t xml:space="preserve">df</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yperlink" Target="https://www.bis.org/publ/othp42_fin_stab.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VMSbew1g2xr88sJm3UU985chfQ==">CgMxLjAyDmguOGJwMDUxdDlhcHlwMg5oLndsZHptZDc0anJ4ajgAaiMKFHN1Z2dlc3Quazl3aHdzM2t1b3NoEgtCb2IgU2hlZWhhbnIhMVJ6WldoX0ZfNXAwYnVzRDJWQ3p3NGZlaUZUck9OUEFY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