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c4587"/>
          <w:sz w:val="32"/>
          <w:szCs w:val="32"/>
        </w:rPr>
      </w:pPr>
      <w:r w:rsidDel="00000000" w:rsidR="00000000" w:rsidRPr="00000000">
        <w:rPr>
          <w:rFonts w:ascii="Arial" w:cs="Arial" w:eastAsia="Arial" w:hAnsi="Arial"/>
          <w:b w:val="1"/>
          <w:i w:val="0"/>
          <w:color w:val="1c4587"/>
          <w:sz w:val="32"/>
          <w:szCs w:val="32"/>
          <w:rtl w:val="0"/>
        </w:rPr>
        <w:t xml:space="preserve">Plumbing </w:t>
      </w:r>
      <w:r w:rsidDel="00000000" w:rsidR="00000000" w:rsidRPr="00000000">
        <w:rPr>
          <w:rFonts w:ascii="Arial" w:cs="Arial" w:eastAsia="Arial" w:hAnsi="Arial"/>
          <w:color w:val="1c4587"/>
          <w:sz w:val="32"/>
          <w:szCs w:val="32"/>
          <w:rtl w:val="0"/>
        </w:rPr>
        <w:t xml:space="preserve">&amp;</w:t>
      </w:r>
      <w:r w:rsidDel="00000000" w:rsidR="00000000" w:rsidRPr="00000000">
        <w:rPr>
          <w:rFonts w:ascii="Arial" w:cs="Arial" w:eastAsia="Arial" w:hAnsi="Arial"/>
          <w:b w:val="1"/>
          <w:i w:val="0"/>
          <w:color w:val="1c4587"/>
          <w:sz w:val="32"/>
          <w:szCs w:val="32"/>
          <w:rtl w:val="0"/>
        </w:rPr>
        <w:t xml:space="preserve"> Pric</w:t>
      </w:r>
      <w:r w:rsidDel="00000000" w:rsidR="00000000" w:rsidRPr="00000000">
        <w:rPr>
          <w:rFonts w:ascii="Arial" w:cs="Arial" w:eastAsia="Arial" w:hAnsi="Arial"/>
          <w:color w:val="1c4587"/>
          <w:sz w:val="32"/>
          <w:szCs w:val="32"/>
          <w:rtl w:val="0"/>
        </w:rPr>
        <w:t xml:space="preserve">ing</w: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351c75"/>
          <w:sz w:val="32"/>
          <w:szCs w:val="32"/>
        </w:rPr>
      </w:pPr>
      <w:r w:rsidDel="00000000" w:rsidR="00000000" w:rsidRPr="00000000">
        <w:rPr>
          <w:rFonts w:ascii="Arial" w:cs="Arial" w:eastAsia="Arial" w:hAnsi="Arial"/>
          <w:color w:val="351c75"/>
          <w:sz w:val="32"/>
          <w:szCs w:val="32"/>
          <w:rtl w:val="0"/>
        </w:rPr>
        <w:t xml:space="preserve">Monetary </w:t>
      </w:r>
      <w:r w:rsidDel="00000000" w:rsidR="00000000" w:rsidRPr="00000000">
        <w:rPr>
          <w:rFonts w:ascii="Arial" w:cs="Arial" w:eastAsia="Arial" w:hAnsi="Arial"/>
          <w:b w:val="1"/>
          <w:i w:val="0"/>
          <w:color w:val="351c75"/>
          <w:sz w:val="32"/>
          <w:szCs w:val="32"/>
          <w:rtl w:val="0"/>
        </w:rPr>
        <w:t xml:space="preserve">Macro Signals </w:t>
      </w:r>
      <w:r w:rsidDel="00000000" w:rsidR="00000000" w:rsidRPr="00000000">
        <w:rPr>
          <w:rFonts w:ascii="Arial" w:cs="Arial" w:eastAsia="Arial" w:hAnsi="Arial"/>
          <w:color w:val="351c75"/>
          <w:sz w:val="32"/>
          <w:szCs w:val="32"/>
          <w:rtl w:val="0"/>
        </w:rPr>
        <w:t xml:space="preserve">in</w:t>
      </w:r>
      <w:r w:rsidDel="00000000" w:rsidR="00000000" w:rsidRPr="00000000">
        <w:rPr>
          <w:rFonts w:ascii="Arial" w:cs="Arial" w:eastAsia="Arial" w:hAnsi="Arial"/>
          <w:b w:val="1"/>
          <w:i w:val="0"/>
          <w:color w:val="351c75"/>
          <w:sz w:val="32"/>
          <w:szCs w:val="32"/>
          <w:rtl w:val="0"/>
        </w:rPr>
        <w:t xml:space="preserve"> Securities Fin</w:t>
      </w:r>
      <w:r w:rsidDel="00000000" w:rsidR="00000000" w:rsidRPr="00000000">
        <w:rPr>
          <w:rFonts w:ascii="Arial" w:cs="Arial" w:eastAsia="Arial" w:hAnsi="Arial"/>
          <w:color w:val="351c75"/>
          <w:sz w:val="32"/>
          <w:szCs w:val="32"/>
          <w:rtl w:val="0"/>
        </w:rPr>
        <w:t xml:space="preserve">ance</w:t>
      </w: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global financial system relies on a vast, intricate, and often opaque network of institutions and markets responsible for the daily movement of trillions of dollars in capital. This network, frequently referred to as "financial plumbing," encompasses the essential infrastructure that facilitates payments, clears trades, and manages risk.</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While often overlooked during periods of market calm, the health of this plumbing is a critical determinant of financial stability. Strains within these core funding markets—manifesting as liquidity shortages, funding rate volatility, or balance sheet constraints—are not isolated technical issues. Instead, they represent powerful, high-frequency macroeconomic signals that propagate through the entire financial ecosystem, directly impacting the pricing and availability of collateral in securities finance markets.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Influential market analysts, such as Zoltan Pozsar, have long argued that central banks and sophisticated market participants must pay meticulous attention to the state of this plumbing, as it is a primary channel for the transmission of monetary policy and a source of systemic risk.</w:t>
      </w:r>
      <w:r w:rsidDel="00000000" w:rsidR="00000000" w:rsidRPr="00000000">
        <w:rPr>
          <w:rFonts w:ascii="Arial" w:cs="Arial" w:eastAsia="Arial" w:hAnsi="Arial"/>
          <w:i w:val="0"/>
          <w:color w:val="575b5f"/>
          <w:sz w:val="24"/>
          <w:szCs w:val="24"/>
          <w:vertAlign w:val="superscript"/>
          <w:rtl w:val="0"/>
        </w:rPr>
        <w:t xml:space="preserve">3</w:t>
      </w:r>
      <w:r w:rsidDel="00000000" w:rsidR="00000000" w:rsidRPr="00000000">
        <w:rPr>
          <w:rFonts w:ascii="Arial" w:cs="Arial" w:eastAsia="Arial" w:hAnsi="Arial"/>
          <w:i w:val="0"/>
          <w:color w:val="1b1c1d"/>
          <w:sz w:val="24"/>
          <w:szCs w:val="24"/>
          <w:rtl w:val="0"/>
        </w:rPr>
        <w:t xml:space="preserve"> This report provides a comprehensive primer on the architecture of modern money markets and presents a quantitative framework for incorporating signals from this space into securities finance operations. It moves beyond a simple description of market mechanics to offer a concrete, data-driven methodology for constructing actionable indicators.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core thesis of this report is that stress in the system's core funding markets—particularly the repo market—provides leading indicators for changes in collateral demand, risk appetite, and pricing across the securities finance landscape. By systematically monitoring a curated set of macro-plumbing indicators, constructing composite signals to filter market noise, and analyzing the interconnected balance sheets of key intermediaries, quantitative teams can develop a significant analytical edge. The framework detailed herein provides the necessary tools to translate the esoteric signals of monetary plumbing into a quantifiable understanding of risk and opportunity, transforming a seemingly background utility into an active source of alpha.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Section 1: The Architecture of Modern Money Markets (The Primer)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section establishes the foundational knowledge required to understand the framework. It defines the environment, the key transaction types, and the main actors, setting the stage for the quantitative analysis that follows.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1.1 The Conductor: The Federal Reserve's Modern Operating Framework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concept of "financial plumbing" refers to the critical, behind-the-scenes infrastructure—the network of systems, institutions, and processes—that enables the flow of capital and the management of risk across the global financial system.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This infrastructure, which includes money markets, payment systems, and clearinghouses, is the foundation upon which all financial transactions rest. While it may not be the most glamorous aspect of finance, its smooth functioning is paramount; without it, payments would not clear, trades could not be settled, and markets would cease to function.</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The analogy is apt: like a building's plumbing, it is noticed most acutely only when it fails.</w:t>
      </w:r>
      <w:r w:rsidDel="00000000" w:rsidR="00000000" w:rsidRPr="00000000">
        <w:rPr>
          <w:rFonts w:ascii="Arial" w:cs="Arial" w:eastAsia="Arial" w:hAnsi="Arial"/>
          <w:i w:val="0"/>
          <w:color w:val="575b5f"/>
          <w:sz w:val="24"/>
          <w:szCs w:val="24"/>
          <w:vertAlign w:val="superscript"/>
          <w:rtl w:val="0"/>
        </w:rPr>
        <w:t xml:space="preserve">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At the center of this system is the U.S. Federal Reserve (the Fed), which plays a central role in implementing monetary policy to achieve its dual mandate from Congress: promoting maximum employment and stable prices.</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The Federal Open Market Committee (FOMC) is responsible for setting the "stance" of monetary policy—deciding whether it should be "accommodative" to encourage growth or "restrictive" to slow it—and issuing directives to the Open Market Trading Desk (the Desk) at the Federal Reserve Bank of New York (FRBNY) to execute that policy.</w:t>
      </w:r>
      <w:r w:rsidDel="00000000" w:rsidR="00000000" w:rsidRPr="00000000">
        <w:rPr>
          <w:rFonts w:ascii="Arial" w:cs="Arial" w:eastAsia="Arial" w:hAnsi="Arial"/>
          <w:i w:val="0"/>
          <w:color w:val="575b5f"/>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 fundamental shift in the Fed's operational approach occurred in the wake of the 2008 Global Financial Crisis. The pre-crisis framework operated under a "scarce reserves" system, where the Fed actively managed the daily supply of bank reserves through open market operations to meet demand at a specific target interest rate.</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However, large-scale asset purchases (Quantitative Easing, or QE) flooded the banking system with liquidity, rendering this approach obsolete. The Fed transitioned to an "ample reserves" operating framework, which is the system in place today.</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In this new regime, the Fed does not control rates by micromanaging the quantity of reserves. Instead, it steers its key policy rate—the federal funds rate—by setting a corridor of administered rates that influence the incentives for banks and other financial institutions to lend and borrow.</w:t>
      </w:r>
      <w:r w:rsidDel="00000000" w:rsidR="00000000" w:rsidRPr="00000000">
        <w:rPr>
          <w:rFonts w:ascii="Arial" w:cs="Arial" w:eastAsia="Arial" w:hAnsi="Arial"/>
          <w:i w:val="0"/>
          <w:color w:val="575b5f"/>
          <w:sz w:val="24"/>
          <w:szCs w:val="24"/>
          <w:vertAlign w:val="superscript"/>
          <w:rtl w:val="0"/>
        </w:rPr>
        <w:t xml:space="preserve">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pPr>
      <w:r w:rsidDel="00000000" w:rsidR="00000000" w:rsidRPr="00000000">
        <w:rPr>
          <w:rFonts w:ascii="Arial" w:cs="Arial" w:eastAsia="Arial" w:hAnsi="Arial"/>
          <w:b w:val="1"/>
          <w:i w:val="0"/>
          <w:color w:val="1b1c1d"/>
          <w:sz w:val="24"/>
          <w:szCs w:val="24"/>
          <w:rtl w:val="0"/>
        </w:rPr>
        <w:t xml:space="preserve">Primary Policy Tools and the Rate Corridor</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modern framework is best understood as a corridor system designed to guide the Effective Federal Funds Rate (EFFR) into the FOMC's target range. The EFFR is the market-realized, volume-weighted median interest rate at which depository institutions lend reserve balances to each other overnight on an unsecured basis.</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The FOMC announces its target range for this rate at its eight scheduled meetings per year, and this range serves as the primary signal of its policy stance.</w:t>
      </w:r>
      <w:r w:rsidDel="00000000" w:rsidR="00000000" w:rsidRPr="00000000">
        <w:rPr>
          <w:rFonts w:ascii="Arial" w:cs="Arial" w:eastAsia="Arial" w:hAnsi="Arial"/>
          <w:i w:val="0"/>
          <w:color w:val="575b5f"/>
          <w:sz w:val="24"/>
          <w:szCs w:val="24"/>
          <w:vertAlign w:val="superscript"/>
          <w:rtl w:val="0"/>
        </w:rPr>
        <w:t xml:space="preserve">6</w:t>
      </w:r>
      <w:r w:rsidDel="00000000" w:rsidR="00000000" w:rsidRPr="00000000">
        <w:rPr>
          <w:rFonts w:ascii="Arial" w:cs="Arial" w:eastAsia="Arial" w:hAnsi="Arial"/>
          <w:i w:val="0"/>
          <w:color w:val="1b1c1d"/>
          <w:sz w:val="24"/>
          <w:szCs w:val="24"/>
          <w:rtl w:val="0"/>
        </w:rPr>
        <w:t xml:space="preserve"> The current target can be found on the Federal Reserve's website and in its official communications.</w:t>
      </w:r>
      <w:r w:rsidDel="00000000" w:rsidR="00000000" w:rsidRPr="00000000">
        <w:rPr>
          <w:rFonts w:ascii="Arial" w:cs="Arial" w:eastAsia="Arial" w:hAnsi="Arial"/>
          <w:i w:val="0"/>
          <w:color w:val="575b5f"/>
          <w:sz w:val="24"/>
          <w:szCs w:val="24"/>
          <w:vertAlign w:val="superscript"/>
          <w:rtl w:val="0"/>
        </w:rPr>
        <w:t xml:space="preserve">8</w:t>
      </w:r>
      <w:r w:rsidDel="00000000" w:rsidR="00000000" w:rsidRPr="00000000">
        <w:rPr>
          <w:rFonts w:ascii="Arial" w:cs="Arial" w:eastAsia="Arial" w:hAnsi="Arial"/>
          <w:i w:val="0"/>
          <w:color w:val="1b1c1d"/>
          <w:sz w:val="24"/>
          <w:szCs w:val="24"/>
          <w:rtl w:val="0"/>
        </w:rPr>
        <w:t xml:space="preserve"> The key components of the corridor are: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The Floor of the Corridor - IORB and ON RRP:</w:t>
      </w:r>
      <w:r w:rsidDel="00000000" w:rsidR="00000000" w:rsidRPr="00000000">
        <w:rPr>
          <w:rFonts w:ascii="Arial" w:cs="Arial" w:eastAsia="Arial" w:hAnsi="Arial"/>
          <w:i w:val="0"/>
          <w:color w:val="1b1c1d"/>
          <w:sz w:val="24"/>
          <w:szCs w:val="24"/>
          <w:rtl w:val="0"/>
        </w:rPr>
        <w:t xml:space="preserve"> The floor of the policy corridor is established by two key administered rates. The first is the rate of </w:t>
      </w:r>
      <w:r w:rsidDel="00000000" w:rsidR="00000000" w:rsidRPr="00000000">
        <w:rPr>
          <w:rFonts w:ascii="Arial" w:cs="Arial" w:eastAsia="Arial" w:hAnsi="Arial"/>
          <w:b w:val="1"/>
          <w:i w:val="0"/>
          <w:color w:val="1b1c1d"/>
          <w:sz w:val="24"/>
          <w:szCs w:val="24"/>
          <w:rtl w:val="0"/>
        </w:rPr>
        <w:t xml:space="preserve">Interest on Reserve Balances (IORB)</w:t>
      </w:r>
      <w:r w:rsidDel="00000000" w:rsidR="00000000" w:rsidRPr="00000000">
        <w:rPr>
          <w:rFonts w:ascii="Arial" w:cs="Arial" w:eastAsia="Arial" w:hAnsi="Arial"/>
          <w:i w:val="0"/>
          <w:color w:val="1b1c1d"/>
          <w:sz w:val="24"/>
          <w:szCs w:val="24"/>
          <w:rtl w:val="0"/>
        </w:rPr>
        <w:t xml:space="preserve">, which is the interest rate the Fed pays to eligible depository institutions on the reserves they hold at the Fed.</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Because holding reserves at the Fed is effectively risk-free, a bank has little incentive to lend those reserves to another institution at a rate below what it can earn from the Fed. This creates a powerful floor for the interbank lending market.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However, a vast and critical segment of the money market, most notably Money Market Funds (MMFs), are not depository institutions and are therefore ineligible to earn IORB. Without a tool to anchor their lending rates, the immense pool of cash held by MMFs would flood the private repo market, potentially pushing overnight rates to zero and breaking the Fed's intended policy floor.</w:t>
      </w:r>
      <w:r w:rsidDel="00000000" w:rsidR="00000000" w:rsidRPr="00000000">
        <w:rPr>
          <w:rFonts w:ascii="Arial" w:cs="Arial" w:eastAsia="Arial" w:hAnsi="Arial"/>
          <w:i w:val="0"/>
          <w:color w:val="575b5f"/>
          <w:sz w:val="24"/>
          <w:szCs w:val="24"/>
          <w:vertAlign w:val="superscript"/>
          <w:rtl w:val="0"/>
        </w:rPr>
        <w:t xml:space="preserve">11</w:t>
      </w:r>
      <w:r w:rsidDel="00000000" w:rsidR="00000000" w:rsidRPr="00000000">
        <w:rPr>
          <w:rFonts w:ascii="Arial" w:cs="Arial" w:eastAsia="Arial" w:hAnsi="Arial"/>
          <w:i w:val="0"/>
          <w:color w:val="1b1c1d"/>
          <w:sz w:val="24"/>
          <w:szCs w:val="24"/>
          <w:rtl w:val="0"/>
        </w:rPr>
        <w:t xml:space="preserve"> To solve this, the Fed introduced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i w:val="0"/>
          <w:color w:val="1b1c1d"/>
          <w:sz w:val="24"/>
          <w:szCs w:val="24"/>
          <w:rtl w:val="0"/>
        </w:rPr>
        <w:t xml:space="preserve">Overnight Reverse Repo (ON RRP) facility</w:t>
      </w:r>
      <w:r w:rsidDel="00000000" w:rsidR="00000000" w:rsidRPr="00000000">
        <w:rPr>
          <w:rFonts w:ascii="Arial" w:cs="Arial" w:eastAsia="Arial" w:hAnsi="Arial"/>
          <w:i w:val="0"/>
          <w:color w:val="1b1c1d"/>
          <w:sz w:val="24"/>
          <w:szCs w:val="24"/>
          <w:rtl w:val="0"/>
        </w:rPr>
        <w:t xml:space="preserve">. This facility allows eligible counterparties, including MMFs, to lend cash to the Fed overnight against high-quality Treasury collateral at a specified rate.</w:t>
      </w:r>
      <w:r w:rsidDel="00000000" w:rsidR="00000000" w:rsidRPr="00000000">
        <w:rPr>
          <w:rFonts w:ascii="Arial" w:cs="Arial" w:eastAsia="Arial" w:hAnsi="Arial"/>
          <w:i w:val="0"/>
          <w:color w:val="575b5f"/>
          <w:sz w:val="24"/>
          <w:szCs w:val="24"/>
          <w:vertAlign w:val="superscript"/>
          <w:rtl w:val="0"/>
        </w:rPr>
        <w:t xml:space="preserve">11</w:t>
      </w:r>
      <w:r w:rsidDel="00000000" w:rsidR="00000000" w:rsidRPr="00000000">
        <w:rPr>
          <w:rFonts w:ascii="Arial" w:cs="Arial" w:eastAsia="Arial" w:hAnsi="Arial"/>
          <w:i w:val="0"/>
          <w:color w:val="1b1c1d"/>
          <w:sz w:val="24"/>
          <w:szCs w:val="24"/>
          <w:rtl w:val="0"/>
        </w:rPr>
        <w:t xml:space="preserve"> The ON RRP rate thus acts as a sub-floor for the broader money market, as these institutions have no reason to lend to a private counterparty at a rate lower than what they can receive from the risk-free ON RRP facility. The facility also serves a crucial secondary function of providing "balance sheet space" for dealers, a dynamic that will be explored in depth later in this report.</w:t>
      </w:r>
      <w:r w:rsidDel="00000000" w:rsidR="00000000" w:rsidRPr="00000000">
        <w:rPr>
          <w:rFonts w:ascii="Arial" w:cs="Arial" w:eastAsia="Arial" w:hAnsi="Arial"/>
          <w:i w:val="0"/>
          <w:color w:val="575b5f"/>
          <w:sz w:val="24"/>
          <w:szCs w:val="24"/>
          <w:vertAlign w:val="superscript"/>
          <w:rtl w:val="0"/>
        </w:rPr>
        <w:t xml:space="preserve">13</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The Ceiling of the Corridor - The SRF and Discount Window:</w:t>
      </w:r>
      <w:r w:rsidDel="00000000" w:rsidR="00000000" w:rsidRPr="00000000">
        <w:rPr>
          <w:rFonts w:ascii="Arial" w:cs="Arial" w:eastAsia="Arial" w:hAnsi="Arial"/>
          <w:i w:val="0"/>
          <w:color w:val="1b1c1d"/>
          <w:sz w:val="24"/>
          <w:szCs w:val="24"/>
          <w:rtl w:val="0"/>
        </w:rPr>
        <w:t xml:space="preserve"> The ceiling of the rate corridor is formed by facilities that provide liquidity to the market to prevent rates from spiking uncontrollably. The </w:t>
      </w:r>
      <w:r w:rsidDel="00000000" w:rsidR="00000000" w:rsidRPr="00000000">
        <w:rPr>
          <w:rFonts w:ascii="Arial" w:cs="Arial" w:eastAsia="Arial" w:hAnsi="Arial"/>
          <w:b w:val="1"/>
          <w:i w:val="0"/>
          <w:color w:val="1b1c1d"/>
          <w:sz w:val="24"/>
          <w:szCs w:val="24"/>
          <w:rtl w:val="0"/>
        </w:rPr>
        <w:t xml:space="preserve">Standing Repo Facility (SRF)</w:t>
      </w:r>
      <w:r w:rsidDel="00000000" w:rsidR="00000000" w:rsidRPr="00000000">
        <w:rPr>
          <w:rFonts w:ascii="Arial" w:cs="Arial" w:eastAsia="Arial" w:hAnsi="Arial"/>
          <w:i w:val="0"/>
          <w:color w:val="1b1c1d"/>
          <w:sz w:val="24"/>
          <w:szCs w:val="24"/>
          <w:rtl w:val="0"/>
        </w:rPr>
        <w:t xml:space="preserve"> serves as a critical backstop for the secured funding market. It allows primary dealers and eligible depository institutions to borrow cash from the Fed overnight against Treasury and agency collateral at a fixed rate.</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By providing a reliable source of funding at a known rate, the SRF effectively caps the rate at which repo transactions should trade, preventing the kind of extreme volatility seen in September 2019. The traditional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i w:val="0"/>
          <w:color w:val="1b1c1d"/>
          <w:sz w:val="24"/>
          <w:szCs w:val="24"/>
          <w:rtl w:val="0"/>
        </w:rPr>
        <w:t xml:space="preserve">Discount Window</w:t>
      </w:r>
      <w:r w:rsidDel="00000000" w:rsidR="00000000" w:rsidRPr="00000000">
        <w:rPr>
          <w:rFonts w:ascii="Arial" w:cs="Arial" w:eastAsia="Arial" w:hAnsi="Arial"/>
          <w:i w:val="0"/>
          <w:color w:val="1b1c1d"/>
          <w:sz w:val="24"/>
          <w:szCs w:val="24"/>
          <w:rtl w:val="0"/>
        </w:rPr>
        <w:t xml:space="preserve"> serves a similar function, offering a source of funding for depository institutions, with its primary credit rate typically set at the top of the federal funds target range.</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essence of the Fed's modern framework is not about targeting a single rate, but about managing this corridor. The most potent signals of plumbing stress, therefore, emerge when market-determined rates deviate significantly from their intended positions within this corridor, or when usage of the Fed's backstop facilities becomes abnormal. A market rate trading persistently below the ON RRP rate signals a glut of cash relative to available high-quality collateral. Conversely, a rate approaching the SRF rate signals a shortage of cash and heightened funding stress. The daily volume of the ON RRP facility, in particular, has become a powerful, high-frequency measure of the amount of non-bank cash that cannot find a private market investment at or above the Fed's floor rate.</w:t>
      </w:r>
      <w:r w:rsidDel="00000000" w:rsidR="00000000" w:rsidRPr="00000000">
        <w:rPr>
          <w:rFonts w:ascii="Arial" w:cs="Arial" w:eastAsia="Arial" w:hAnsi="Arial"/>
          <w:i w:val="0"/>
          <w:color w:val="575b5f"/>
          <w:sz w:val="24"/>
          <w:szCs w:val="24"/>
          <w:vertAlign w:val="superscript"/>
          <w:rtl w:val="0"/>
        </w:rPr>
        <w:t xml:space="preserve">14</w:t>
      </w:r>
      <w:r w:rsidDel="00000000" w:rsidR="00000000" w:rsidRPr="00000000">
        <w:rPr>
          <w:rFonts w:ascii="Arial" w:cs="Arial" w:eastAsia="Arial" w:hAnsi="Arial"/>
          <w:i w:val="0"/>
          <w:color w:val="1b1c1d"/>
          <w:sz w:val="24"/>
          <w:szCs w:val="24"/>
          <w:rtl w:val="0"/>
        </w:rPr>
        <w:t xml:space="preserve"> This makes it a direct, real-time indicator of the supply-demand balance for cash and collateral at the very core of the financial system.</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1.2 The Twin Engines: Differentiating Repo and Securities Lending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Within the financial plumbing, the repurchase agreement (repo) and securities lending markets are the twin engines of collateralized finance. While economically similar in that they both involve the temporary, collateralized transfer of assets, their primary purposes, typical participants, and market dynamics are distinct. Understanding these differences is fundamental to correctly interpreting the signals they generate.</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Repo Market Mechanics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 repurchase agreement is, in economic terms, a collateralized loan. Legally, however, it is structured as a sale of a security coupled with an agreement to repurchase the same or an equivalent security at a later date for a slightly higher price.</w:t>
      </w:r>
      <w:r w:rsidDel="00000000" w:rsidR="00000000" w:rsidRPr="00000000">
        <w:rPr>
          <w:rFonts w:ascii="Arial" w:cs="Arial" w:eastAsia="Arial" w:hAnsi="Arial"/>
          <w:i w:val="0"/>
          <w:color w:val="575b5f"/>
          <w:sz w:val="24"/>
          <w:szCs w:val="24"/>
          <w:vertAlign w:val="superscript"/>
          <w:rtl w:val="0"/>
        </w:rPr>
        <w:t xml:space="preserve">15</w:t>
      </w:r>
      <w:r w:rsidDel="00000000" w:rsidR="00000000" w:rsidRPr="00000000">
        <w:rPr>
          <w:rFonts w:ascii="Arial" w:cs="Arial" w:eastAsia="Arial" w:hAnsi="Arial"/>
          <w:i w:val="0"/>
          <w:color w:val="1b1c1d"/>
          <w:sz w:val="24"/>
          <w:szCs w:val="24"/>
          <w:rtl w:val="0"/>
        </w:rPr>
        <w:t xml:space="preserve"> The difference between the sale price and the repurchase price represents the interest on the loan, known as the repo rate.</w:t>
      </w:r>
      <w:r w:rsidDel="00000000" w:rsidR="00000000" w:rsidRPr="00000000">
        <w:rPr>
          <w:rFonts w:ascii="Arial" w:cs="Arial" w:eastAsia="Arial" w:hAnsi="Arial"/>
          <w:i w:val="0"/>
          <w:color w:val="575b5f"/>
          <w:sz w:val="24"/>
          <w:szCs w:val="24"/>
          <w:vertAlign w:val="superscript"/>
          <w:rtl w:val="0"/>
        </w:rPr>
        <w:t xml:space="preserve">15</w:t>
      </w:r>
      <w:r w:rsidDel="00000000" w:rsidR="00000000" w:rsidRPr="00000000">
        <w:rPr>
          <w:rFonts w:ascii="Arial" w:cs="Arial" w:eastAsia="Arial" w:hAnsi="Arial"/>
          <w:i w:val="0"/>
          <w:color w:val="1b1c1d"/>
          <w:sz w:val="24"/>
          <w:szCs w:val="24"/>
          <w:rtl w:val="0"/>
        </w:rPr>
        <w:t xml:space="preserve"> This legal structure is critical because it involves a transfer of title, which provides "bankruptcy-remote" protection to the cash lender. In the event of the borrower's default, the lender can typically liquidate the collateral without being subject to an automatic stay in bankruptcy court, a significant advantage over a traditional secured loan.</w:t>
      </w:r>
      <w:r w:rsidDel="00000000" w:rsidR="00000000" w:rsidRPr="00000000">
        <w:rPr>
          <w:rFonts w:ascii="Arial" w:cs="Arial" w:eastAsia="Arial" w:hAnsi="Arial"/>
          <w:i w:val="0"/>
          <w:color w:val="575b5f"/>
          <w:sz w:val="24"/>
          <w:szCs w:val="24"/>
          <w:vertAlign w:val="superscript"/>
          <w:rtl w:val="0"/>
        </w:rPr>
        <w:t xml:space="preserve">16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primary purpose of the repo market is the secured borrowing and lending of cash. It is the central hub where institutions with excess cash (like MMFs) can invest it safely, and where institutions needing to finance securities inventories (like dealers) can borrow cash cheaply.</w:t>
      </w:r>
      <w:r w:rsidDel="00000000" w:rsidR="00000000" w:rsidRPr="00000000">
        <w:rPr>
          <w:rFonts w:ascii="Arial" w:cs="Arial" w:eastAsia="Arial" w:hAnsi="Arial"/>
          <w:i w:val="0"/>
          <w:color w:val="575b5f"/>
          <w:sz w:val="24"/>
          <w:szCs w:val="24"/>
          <w:vertAlign w:val="superscript"/>
          <w:rtl w:val="0"/>
        </w:rPr>
        <w:t xml:space="preserve">15</w:t>
      </w:r>
      <w:r w:rsidDel="00000000" w:rsidR="00000000" w:rsidRPr="00000000">
        <w:rPr>
          <w:rFonts w:ascii="Arial" w:cs="Arial" w:eastAsia="Arial" w:hAnsi="Arial"/>
          <w:i w:val="0"/>
          <w:color w:val="1b1c1d"/>
          <w:sz w:val="24"/>
          <w:szCs w:val="24"/>
          <w:rtl w:val="0"/>
        </w:rPr>
        <w:t xml:space="preserve"> The market has several segments:</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Bilateral Repo:</w:t>
      </w:r>
      <w:r w:rsidDel="00000000" w:rsidR="00000000" w:rsidRPr="00000000">
        <w:rPr>
          <w:rFonts w:ascii="Arial" w:cs="Arial" w:eastAsia="Arial" w:hAnsi="Arial"/>
          <w:i w:val="0"/>
          <w:color w:val="1b1c1d"/>
          <w:sz w:val="24"/>
          <w:szCs w:val="24"/>
          <w:rtl w:val="0"/>
        </w:rPr>
        <w:t xml:space="preserve"> Transactions negotiated directly between two parties, where the cash lender must have the operational capability to receive and manage the collateral.</w:t>
      </w:r>
      <w:r w:rsidDel="00000000" w:rsidR="00000000" w:rsidRPr="00000000">
        <w:rPr>
          <w:rFonts w:ascii="Arial" w:cs="Arial" w:eastAsia="Arial" w:hAnsi="Arial"/>
          <w:i w:val="0"/>
          <w:color w:val="575b5f"/>
          <w:sz w:val="24"/>
          <w:szCs w:val="24"/>
          <w:vertAlign w:val="superscript"/>
          <w:rtl w:val="0"/>
        </w:rPr>
        <w:t xml:space="preserve">16</w:t>
      </w:r>
      <w:r w:rsidDel="00000000" w:rsidR="00000000" w:rsidRPr="00000000">
        <w:rPr>
          <w:rtl w:val="0"/>
        </w:rPr>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Tri-Party Repo:</w:t>
      </w:r>
      <w:r w:rsidDel="00000000" w:rsidR="00000000" w:rsidRPr="00000000">
        <w:rPr>
          <w:rFonts w:ascii="Arial" w:cs="Arial" w:eastAsia="Arial" w:hAnsi="Arial"/>
          <w:i w:val="0"/>
          <w:color w:val="1b1c1d"/>
          <w:sz w:val="24"/>
          <w:szCs w:val="24"/>
          <w:rtl w:val="0"/>
        </w:rPr>
        <w:t xml:space="preserve"> The dominant form for many cash investors, where a third-party agent (a custodian bank like BNY Mellon or JPMorgan Chase) sits between the two counterparties, managing collateral allocation, valuation, and settlement. This reduces the operational burden on the cash lender.</w:t>
      </w:r>
      <w:r w:rsidDel="00000000" w:rsidR="00000000" w:rsidRPr="00000000">
        <w:rPr>
          <w:rFonts w:ascii="Arial" w:cs="Arial" w:eastAsia="Arial" w:hAnsi="Arial"/>
          <w:i w:val="0"/>
          <w:color w:val="575b5f"/>
          <w:sz w:val="24"/>
          <w:szCs w:val="24"/>
          <w:vertAlign w:val="superscript"/>
          <w:rtl w:val="0"/>
        </w:rPr>
        <w:t xml:space="preserve">16</w:t>
      </w:r>
      <w:r w:rsidDel="00000000" w:rsidR="00000000" w:rsidRPr="00000000">
        <w:rPr>
          <w:rtl w:val="0"/>
        </w:rPr>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General Collateral Finance (GCF) Repo:</w:t>
      </w:r>
      <w:r w:rsidDel="00000000" w:rsidR="00000000" w:rsidRPr="00000000">
        <w:rPr>
          <w:rFonts w:ascii="Arial" w:cs="Arial" w:eastAsia="Arial" w:hAnsi="Arial"/>
          <w:i w:val="0"/>
          <w:color w:val="1b1c1d"/>
          <w:sz w:val="24"/>
          <w:szCs w:val="24"/>
          <w:rtl w:val="0"/>
        </w:rPr>
        <w:t xml:space="preserve"> A blind-brokered, interdealer market for general collateral, cleared and settled through the Fixed Income Clearing Corporation (FICC), a subsidiary of the DTCC.</w:t>
      </w:r>
      <w:r w:rsidDel="00000000" w:rsidR="00000000" w:rsidRPr="00000000">
        <w:rPr>
          <w:rFonts w:ascii="Arial" w:cs="Arial" w:eastAsia="Arial" w:hAnsi="Arial"/>
          <w:i w:val="0"/>
          <w:color w:val="575b5f"/>
          <w:sz w:val="24"/>
          <w:szCs w:val="24"/>
          <w:vertAlign w:val="superscript"/>
          <w:rtl w:val="0"/>
        </w:rPr>
        <w:t xml:space="preserve">16</w:t>
      </w:r>
      <w:r w:rsidDel="00000000" w:rsidR="00000000" w:rsidRPr="00000000">
        <w:rPr>
          <w:rFonts w:ascii="Arial" w:cs="Arial" w:eastAsia="Arial" w:hAnsi="Arial"/>
          <w:i w:val="0"/>
          <w:color w:val="1b1c1d"/>
          <w:sz w:val="24"/>
          <w:szCs w:val="24"/>
          <w:rtl w:val="0"/>
        </w:rPr>
        <w:t xml:space="preserve"> It allows dealers to trade general collateral repos efficiently without settling each trade individually.</w:t>
      </w:r>
      <w:r w:rsidDel="00000000" w:rsidR="00000000" w:rsidRPr="00000000">
        <w:rPr>
          <w:rFonts w:ascii="Arial" w:cs="Arial" w:eastAsia="Arial" w:hAnsi="Arial"/>
          <w:i w:val="0"/>
          <w:color w:val="575b5f"/>
          <w:sz w:val="24"/>
          <w:szCs w:val="24"/>
          <w:vertAlign w:val="superscript"/>
          <w:rtl w:val="0"/>
        </w:rPr>
        <w:t xml:space="preserve">18</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Securities Lending Mechanics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Securities lending is the temporary transfer of a specific security from a lender (e.g., a pension fund or asset manager) to a borrower (e.g., a hedge fund or market maker).</w:t>
      </w:r>
      <w:r w:rsidDel="00000000" w:rsidR="00000000" w:rsidRPr="00000000">
        <w:rPr>
          <w:rFonts w:ascii="Arial" w:cs="Arial" w:eastAsia="Arial" w:hAnsi="Arial"/>
          <w:i w:val="0"/>
          <w:color w:val="575b5f"/>
          <w:sz w:val="24"/>
          <w:szCs w:val="24"/>
          <w:vertAlign w:val="superscript"/>
          <w:rtl w:val="0"/>
        </w:rPr>
        <w:t xml:space="preserve">19</w:t>
      </w:r>
      <w:r w:rsidDel="00000000" w:rsidR="00000000" w:rsidRPr="00000000">
        <w:rPr>
          <w:rFonts w:ascii="Arial" w:cs="Arial" w:eastAsia="Arial" w:hAnsi="Arial"/>
          <w:i w:val="0"/>
          <w:color w:val="1b1c1d"/>
          <w:sz w:val="24"/>
          <w:szCs w:val="24"/>
          <w:rtl w:val="0"/>
        </w:rPr>
        <w:t xml:space="preserve"> In return, the borrower provides collateral—which can be cash, other securities, or a letter of credit—and pays a fee to the lender.</w:t>
      </w:r>
      <w:r w:rsidDel="00000000" w:rsidR="00000000" w:rsidRPr="00000000">
        <w:rPr>
          <w:rFonts w:ascii="Arial" w:cs="Arial" w:eastAsia="Arial" w:hAnsi="Arial"/>
          <w:i w:val="0"/>
          <w:color w:val="575b5f"/>
          <w:sz w:val="24"/>
          <w:szCs w:val="24"/>
          <w:vertAlign w:val="superscript"/>
          <w:rtl w:val="0"/>
        </w:rPr>
        <w:t xml:space="preserve">16</w:t>
      </w:r>
      <w:r w:rsidDel="00000000" w:rsidR="00000000" w:rsidRPr="00000000">
        <w:rPr>
          <w:rFonts w:ascii="Arial" w:cs="Arial" w:eastAsia="Arial" w:hAnsi="Arial"/>
          <w:i w:val="0"/>
          <w:color w:val="1b1c1d"/>
          <w:sz w:val="24"/>
          <w:szCs w:val="24"/>
          <w:rtl w:val="0"/>
        </w:rPr>
        <w:t xml:space="preserve"> The title to the security is transferred to the borrower for the duration of the loan.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Unlike the repo market, the primary purpose of securities lending is not cash financing but rather to facilitate specific market activities.</w:t>
      </w:r>
      <w:r w:rsidDel="00000000" w:rsidR="00000000" w:rsidRPr="00000000">
        <w:rPr>
          <w:rFonts w:ascii="Arial" w:cs="Arial" w:eastAsia="Arial" w:hAnsi="Arial"/>
          <w:i w:val="0"/>
          <w:color w:val="575b5f"/>
          <w:sz w:val="24"/>
          <w:szCs w:val="24"/>
          <w:vertAlign w:val="superscript"/>
          <w:rtl w:val="0"/>
        </w:rPr>
        <w:t xml:space="preserve">19</w:t>
      </w:r>
      <w:r w:rsidDel="00000000" w:rsidR="00000000" w:rsidRPr="00000000">
        <w:rPr>
          <w:rFonts w:ascii="Arial" w:cs="Arial" w:eastAsia="Arial" w:hAnsi="Arial"/>
          <w:i w:val="0"/>
          <w:color w:val="1b1c1d"/>
          <w:sz w:val="24"/>
          <w:szCs w:val="24"/>
          <w:rtl w:val="0"/>
        </w:rPr>
        <w:t xml:space="preserve"> These include:</w:t>
      </w:r>
    </w:p>
    <w:p w:rsidR="00000000" w:rsidDel="00000000" w:rsidP="00000000" w:rsidRDefault="00000000" w:rsidRPr="00000000" w14:paraId="00000028">
      <w:pPr>
        <w:numPr>
          <w:ilvl w:val="0"/>
          <w:numId w:val="17"/>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Short Selling:</w:t>
      </w:r>
      <w:r w:rsidDel="00000000" w:rsidR="00000000" w:rsidRPr="00000000">
        <w:rPr>
          <w:rFonts w:ascii="Arial" w:cs="Arial" w:eastAsia="Arial" w:hAnsi="Arial"/>
          <w:i w:val="0"/>
          <w:color w:val="1b1c1d"/>
          <w:sz w:val="24"/>
          <w:szCs w:val="24"/>
          <w:rtl w:val="0"/>
        </w:rPr>
        <w:t xml:space="preserve"> A borrower sells the borrowed security in the market, hoping to buy it back later at a lower price.</w:t>
      </w:r>
      <w:r w:rsidDel="00000000" w:rsidR="00000000" w:rsidRPr="00000000">
        <w:rPr>
          <w:rtl w:val="0"/>
        </w:rPr>
      </w:r>
    </w:p>
    <w:p w:rsidR="00000000" w:rsidDel="00000000" w:rsidP="00000000" w:rsidRDefault="00000000" w:rsidRPr="00000000" w14:paraId="00000029">
      <w:pPr>
        <w:numPr>
          <w:ilvl w:val="0"/>
          <w:numId w:val="1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Settlement Failure Avoidance:</w:t>
      </w:r>
      <w:r w:rsidDel="00000000" w:rsidR="00000000" w:rsidRPr="00000000">
        <w:rPr>
          <w:rFonts w:ascii="Arial" w:cs="Arial" w:eastAsia="Arial" w:hAnsi="Arial"/>
          <w:i w:val="0"/>
          <w:color w:val="1b1c1d"/>
          <w:sz w:val="24"/>
          <w:szCs w:val="24"/>
          <w:rtl w:val="0"/>
        </w:rPr>
        <w:t xml:space="preserve"> A firm that has failed to receive a security it was due can borrow it to meet its own delivery obligation, preventing a chain reaction of settlement fails.</w:t>
      </w:r>
      <w:r w:rsidDel="00000000" w:rsidR="00000000" w:rsidRPr="00000000">
        <w:rPr>
          <w:rtl w:val="0"/>
        </w:rPr>
      </w:r>
    </w:p>
    <w:p w:rsidR="00000000" w:rsidDel="00000000" w:rsidP="00000000" w:rsidRDefault="00000000" w:rsidRPr="00000000" w14:paraId="0000002A">
      <w:pPr>
        <w:numPr>
          <w:ilvl w:val="0"/>
          <w:numId w:val="17"/>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Arbitrage and Hedging Strategies:</w:t>
      </w:r>
      <w:r w:rsidDel="00000000" w:rsidR="00000000" w:rsidRPr="00000000">
        <w:rPr>
          <w:rFonts w:ascii="Arial" w:cs="Arial" w:eastAsia="Arial" w:hAnsi="Arial"/>
          <w:i w:val="0"/>
          <w:color w:val="1b1c1d"/>
          <w:sz w:val="24"/>
          <w:szCs w:val="24"/>
          <w:rtl w:val="0"/>
        </w:rPr>
        <w:t xml:space="preserve"> Sophisticated strategies that require borrowing a specific security to execute.</w:t>
      </w:r>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The Critical Distinction: Cash-Driven vs. Security-Driven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central analytical lens for differentiating these two markets is understanding their primary driver. The repo market is overwhelmingly a </w:t>
      </w:r>
      <w:r w:rsidDel="00000000" w:rsidR="00000000" w:rsidRPr="00000000">
        <w:rPr>
          <w:rFonts w:ascii="Arial" w:cs="Arial" w:eastAsia="Arial" w:hAnsi="Arial"/>
          <w:b w:val="1"/>
          <w:i w:val="0"/>
          <w:color w:val="1b1c1d"/>
          <w:sz w:val="24"/>
          <w:szCs w:val="24"/>
          <w:rtl w:val="0"/>
        </w:rPr>
        <w:t xml:space="preserve">cash-driven</w:t>
      </w:r>
      <w:r w:rsidDel="00000000" w:rsidR="00000000" w:rsidRPr="00000000">
        <w:rPr>
          <w:rFonts w:ascii="Arial" w:cs="Arial" w:eastAsia="Arial" w:hAnsi="Arial"/>
          <w:i w:val="0"/>
          <w:color w:val="1b1c1d"/>
          <w:sz w:val="24"/>
          <w:szCs w:val="24"/>
          <w:rtl w:val="0"/>
        </w:rPr>
        <w:t xml:space="preserve"> market. Its participants are primarily motivated by the need to invest or borrow cash, with the securities serving as collateral.</w:t>
      </w:r>
      <w:r w:rsidDel="00000000" w:rsidR="00000000" w:rsidRPr="00000000">
        <w:rPr>
          <w:rFonts w:ascii="Arial" w:cs="Arial" w:eastAsia="Arial" w:hAnsi="Arial"/>
          <w:i w:val="0"/>
          <w:color w:val="575b5f"/>
          <w:sz w:val="24"/>
          <w:szCs w:val="24"/>
          <w:vertAlign w:val="superscript"/>
          <w:rtl w:val="0"/>
        </w:rPr>
        <w:t xml:space="preserve">16</w:t>
      </w:r>
      <w:r w:rsidDel="00000000" w:rsidR="00000000" w:rsidRPr="00000000">
        <w:rPr>
          <w:rFonts w:ascii="Arial" w:cs="Arial" w:eastAsia="Arial" w:hAnsi="Arial"/>
          <w:i w:val="0"/>
          <w:color w:val="1b1c1d"/>
          <w:sz w:val="24"/>
          <w:szCs w:val="24"/>
          <w:rtl w:val="0"/>
        </w:rPr>
        <w:t xml:space="preserve"> For this reason, the most common collateral types are high-quality liquid assets (HQLA) like U.S. Treasuries and agency mortgage-backed securities, which are generic and easily valued.</w:t>
      </w:r>
      <w:r w:rsidDel="00000000" w:rsidR="00000000" w:rsidRPr="00000000">
        <w:rPr>
          <w:rFonts w:ascii="Arial" w:cs="Arial" w:eastAsia="Arial" w:hAnsi="Arial"/>
          <w:i w:val="0"/>
          <w:color w:val="575b5f"/>
          <w:sz w:val="24"/>
          <w:szCs w:val="24"/>
          <w:vertAlign w:val="superscript"/>
          <w:rtl w:val="0"/>
        </w:rPr>
        <w:t xml:space="preserve">15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In contrast, the securities lending market is primarily a </w:t>
      </w:r>
      <w:r w:rsidDel="00000000" w:rsidR="00000000" w:rsidRPr="00000000">
        <w:rPr>
          <w:rFonts w:ascii="Arial" w:cs="Arial" w:eastAsia="Arial" w:hAnsi="Arial"/>
          <w:b w:val="1"/>
          <w:i w:val="0"/>
          <w:color w:val="1b1c1d"/>
          <w:sz w:val="24"/>
          <w:szCs w:val="24"/>
          <w:rtl w:val="0"/>
        </w:rPr>
        <w:t xml:space="preserve">security-driven</w:t>
      </w:r>
      <w:r w:rsidDel="00000000" w:rsidR="00000000" w:rsidRPr="00000000">
        <w:rPr>
          <w:rFonts w:ascii="Arial" w:cs="Arial" w:eastAsia="Arial" w:hAnsi="Arial"/>
          <w:i w:val="0"/>
          <w:color w:val="1b1c1d"/>
          <w:sz w:val="24"/>
          <w:szCs w:val="24"/>
          <w:rtl w:val="0"/>
        </w:rPr>
        <w:t xml:space="preserve"> market. The borrower's main objective is to obtain a </w:t>
      </w:r>
      <w:r w:rsidDel="00000000" w:rsidR="00000000" w:rsidRPr="00000000">
        <w:rPr>
          <w:rFonts w:ascii="Arial" w:cs="Arial" w:eastAsia="Arial" w:hAnsi="Arial"/>
          <w:i w:val="1"/>
          <w:color w:val="1b1c1d"/>
          <w:sz w:val="24"/>
          <w:szCs w:val="24"/>
          <w:rtl w:val="0"/>
        </w:rPr>
        <w:t xml:space="preserve">specific</w:t>
      </w:r>
      <w:r w:rsidDel="00000000" w:rsidR="00000000" w:rsidRPr="00000000">
        <w:rPr>
          <w:rFonts w:ascii="Arial" w:cs="Arial" w:eastAsia="Arial" w:hAnsi="Arial"/>
          <w:i w:val="0"/>
          <w:color w:val="1b1c1d"/>
          <w:sz w:val="24"/>
          <w:szCs w:val="24"/>
          <w:rtl w:val="0"/>
        </w:rPr>
        <w:t xml:space="preserve"> security for a specific purpose.</w:t>
      </w:r>
      <w:r w:rsidDel="00000000" w:rsidR="00000000" w:rsidRPr="00000000">
        <w:rPr>
          <w:rFonts w:ascii="Arial" w:cs="Arial" w:eastAsia="Arial" w:hAnsi="Arial"/>
          <w:i w:val="0"/>
          <w:color w:val="575b5f"/>
          <w:sz w:val="24"/>
          <w:szCs w:val="24"/>
          <w:vertAlign w:val="superscript"/>
          <w:rtl w:val="0"/>
        </w:rPr>
        <w:t xml:space="preserve">16</w:t>
      </w:r>
      <w:r w:rsidDel="00000000" w:rsidR="00000000" w:rsidRPr="00000000">
        <w:rPr>
          <w:rFonts w:ascii="Arial" w:cs="Arial" w:eastAsia="Arial" w:hAnsi="Arial"/>
          <w:i w:val="0"/>
          <w:color w:val="1b1c1d"/>
          <w:sz w:val="24"/>
          <w:szCs w:val="24"/>
          <w:rtl w:val="0"/>
        </w:rPr>
        <w:t xml:space="preserve"> The fee paid for the loan is therefore highly dependent on the demand for that particular security. A stock that is heavily shorted will command a very high lending fee and be considered "special," while a stock with little borrowing demand will be considered "general collateral" (GC) and command a low fee.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distinction is paramount for signal interpretation. The prices generated by these two markets provide fundamentally different information. The general collateral repo rate reflects the systemic, market-wide cost of </w:t>
      </w:r>
      <w:r w:rsidDel="00000000" w:rsidR="00000000" w:rsidRPr="00000000">
        <w:rPr>
          <w:rFonts w:ascii="Arial" w:cs="Arial" w:eastAsia="Arial" w:hAnsi="Arial"/>
          <w:i w:val="1"/>
          <w:color w:val="1b1c1d"/>
          <w:sz w:val="24"/>
          <w:szCs w:val="24"/>
          <w:rtl w:val="0"/>
        </w:rPr>
        <w:t xml:space="preserve">secured funding</w:t>
      </w:r>
      <w:r w:rsidDel="00000000" w:rsidR="00000000" w:rsidRPr="00000000">
        <w:rPr>
          <w:rFonts w:ascii="Arial" w:cs="Arial" w:eastAsia="Arial" w:hAnsi="Arial"/>
          <w:i w:val="0"/>
          <w:color w:val="1b1c1d"/>
          <w:sz w:val="24"/>
          <w:szCs w:val="24"/>
          <w:rtl w:val="0"/>
        </w:rPr>
        <w:t xml:space="preserve">. The securities lending fee for a specific stock or bond reflects the idiosyncratic demand for that </w:t>
      </w:r>
      <w:r w:rsidDel="00000000" w:rsidR="00000000" w:rsidRPr="00000000">
        <w:rPr>
          <w:rFonts w:ascii="Arial" w:cs="Arial" w:eastAsia="Arial" w:hAnsi="Arial"/>
          <w:i w:val="1"/>
          <w:color w:val="1b1c1d"/>
          <w:sz w:val="24"/>
          <w:szCs w:val="24"/>
          <w:rtl w:val="0"/>
        </w:rPr>
        <w:t xml:space="preserve">specific piece of collateral</w:t>
      </w:r>
      <w:r w:rsidDel="00000000" w:rsidR="00000000" w:rsidRPr="00000000">
        <w:rPr>
          <w:rFonts w:ascii="Arial" w:cs="Arial" w:eastAsia="Arial" w:hAnsi="Arial"/>
          <w:i w:val="0"/>
          <w:color w:val="1b1c1d"/>
          <w:sz w:val="24"/>
          <w:szCs w:val="24"/>
          <w:rtl w:val="0"/>
        </w:rPr>
        <w:t xml:space="preserve">. The power of the proposed framework comes from analyzing the interplay, divergence, and causal links between these two distinct but related signals.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dealer's role as an intermediary in both markets creates this crucial link. A dealer's ability to offer securities lending services and facilitate short selling is directly dependent on its ability to fund its overall balance sheet in the broader repo market.</w:t>
      </w:r>
      <w:r w:rsidDel="00000000" w:rsidR="00000000" w:rsidRPr="00000000">
        <w:rPr>
          <w:rFonts w:ascii="Arial" w:cs="Arial" w:eastAsia="Arial" w:hAnsi="Arial"/>
          <w:i w:val="0"/>
          <w:color w:val="575b5f"/>
          <w:sz w:val="24"/>
          <w:szCs w:val="24"/>
          <w:vertAlign w:val="superscript"/>
          <w:rtl w:val="0"/>
        </w:rPr>
        <w:t xml:space="preserve">16</w:t>
      </w:r>
      <w:r w:rsidDel="00000000" w:rsidR="00000000" w:rsidRPr="00000000">
        <w:rPr>
          <w:rFonts w:ascii="Arial" w:cs="Arial" w:eastAsia="Arial" w:hAnsi="Arial"/>
          <w:i w:val="0"/>
          <w:color w:val="1b1c1d"/>
          <w:sz w:val="24"/>
          <w:szCs w:val="24"/>
          <w:rtl w:val="0"/>
        </w:rPr>
        <w:t xml:space="preserve"> Therefore, a systemic shock that raises the cost of funding in the repo market (a macro plumbing signal) will inevitably increase the dealer's cost base and constrain its capacity for all forms of financing, including securities lending. This creates a causal chain: a sustained increase in general repo rates can be 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1"/>
          <w:color w:val="1b1c1d"/>
          <w:sz w:val="24"/>
          <w:szCs w:val="24"/>
          <w:rtl w:val="0"/>
        </w:rPr>
        <w:t xml:space="preserve">leading indicator</w:t>
      </w:r>
      <w:r w:rsidDel="00000000" w:rsidR="00000000" w:rsidRPr="00000000">
        <w:rPr>
          <w:rFonts w:ascii="Arial" w:cs="Arial" w:eastAsia="Arial" w:hAnsi="Arial"/>
          <w:i w:val="0"/>
          <w:color w:val="1b1c1d"/>
          <w:sz w:val="24"/>
          <w:szCs w:val="24"/>
          <w:rtl w:val="0"/>
        </w:rPr>
        <w:t xml:space="preserve"> of wider spreads, lower availability, and higher costs in the securities lending market, even for securities that are not themselves used as repo collateral. This is a powerful, non-obvious relationship that connects the general cost of funding to the specific cost of borrowing an individual security.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Repurchase Agreement (Repo)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Securities Lending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Primary 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0"/>
                <w:szCs w:val="20"/>
                <w:shd w:fill="auto" w:val="clear"/>
                <w:rtl w:val="0"/>
              </w:rPr>
              <w:t xml:space="preserve">Cash-Driven:</w:t>
            </w:r>
            <w:r w:rsidDel="00000000" w:rsidR="00000000" w:rsidRPr="00000000">
              <w:rPr>
                <w:rFonts w:ascii="Arial" w:cs="Arial" w:eastAsia="Arial" w:hAnsi="Arial"/>
                <w:i w:val="0"/>
                <w:color w:val="1b1c1d"/>
                <w:sz w:val="20"/>
                <w:szCs w:val="20"/>
                <w:shd w:fill="auto" w:val="clear"/>
                <w:rtl w:val="0"/>
              </w:rPr>
              <w:t xml:space="preserve"> Borrowing/lending cash </w:t>
            </w:r>
            <w:r w:rsidDel="00000000" w:rsidR="00000000" w:rsidRPr="00000000">
              <w:rPr>
                <w:rFonts w:ascii="Arial" w:cs="Arial" w:eastAsia="Arial" w:hAnsi="Arial"/>
                <w:i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0"/>
                <w:szCs w:val="20"/>
                <w:shd w:fill="auto" w:val="clear"/>
                <w:rtl w:val="0"/>
              </w:rPr>
              <w:t xml:space="preserve">Security-Driven:</w:t>
            </w:r>
            <w:r w:rsidDel="00000000" w:rsidR="00000000" w:rsidRPr="00000000">
              <w:rPr>
                <w:rFonts w:ascii="Arial" w:cs="Arial" w:eastAsia="Arial" w:hAnsi="Arial"/>
                <w:i w:val="0"/>
                <w:color w:val="1b1c1d"/>
                <w:sz w:val="20"/>
                <w:szCs w:val="20"/>
                <w:shd w:fill="auto" w:val="clear"/>
                <w:rtl w:val="0"/>
              </w:rPr>
              <w:t xml:space="preserve"> Borrowing a specific security </w:t>
            </w:r>
            <w:r w:rsidDel="00000000" w:rsidR="00000000" w:rsidRPr="00000000">
              <w:rPr>
                <w:rFonts w:ascii="Arial" w:cs="Arial" w:eastAsia="Arial" w:hAnsi="Arial"/>
                <w:i w:val="0"/>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Economic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Secured money market 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Collateral rental 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Typical Participants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Cash Lenders: MMFs, Central Banks, Corporations </w:t>
            </w:r>
            <w:r w:rsidDel="00000000" w:rsidR="00000000" w:rsidRPr="00000000">
              <w:rPr>
                <w:rFonts w:ascii="Arial" w:cs="Arial" w:eastAsia="Arial" w:hAnsi="Arial"/>
                <w:i w:val="0"/>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Cash Borrowers: Securities Dealers, Hedge Funds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Security Lenders: Pension Funds, Asset Managers, Insurers </w:t>
            </w:r>
            <w:r w:rsidDel="00000000" w:rsidR="00000000" w:rsidRPr="00000000">
              <w:rPr>
                <w:rFonts w:ascii="Arial" w:cs="Arial" w:eastAsia="Arial" w:hAnsi="Arial"/>
                <w:i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Security Borrowers: Hedge Funds, Market Makers 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Typical Collateral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0"/>
                <w:szCs w:val="20"/>
                <w:shd w:fill="auto" w:val="clear"/>
                <w:rtl w:val="0"/>
              </w:rPr>
              <w:t xml:space="preserve">From Borrower to Lender:</w:t>
            </w:r>
            <w:r w:rsidDel="00000000" w:rsidR="00000000" w:rsidRPr="00000000">
              <w:rPr>
                <w:rFonts w:ascii="Arial" w:cs="Arial" w:eastAsia="Arial" w:hAnsi="Arial"/>
                <w:i w:val="0"/>
                <w:color w:val="1b1c1d"/>
                <w:sz w:val="20"/>
                <w:szCs w:val="20"/>
                <w:shd w:fill="auto" w:val="clear"/>
                <w:rtl w:val="0"/>
              </w:rPr>
              <w:t xml:space="preserve"> High-Quality Liquid Assets (HQLA) like U.S. Treasuries, Agency Debt, Agency MBS </w:t>
            </w:r>
            <w:r w:rsidDel="00000000" w:rsidR="00000000" w:rsidRPr="00000000">
              <w:rPr>
                <w:rFonts w:ascii="Arial" w:cs="Arial" w:eastAsia="Arial" w:hAnsi="Arial"/>
                <w:i w:val="0"/>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0"/>
                <w:szCs w:val="20"/>
                <w:shd w:fill="auto" w:val="clear"/>
                <w:rtl w:val="0"/>
              </w:rPr>
              <w:t xml:space="preserve">From Borrower to Lender:</w:t>
            </w:r>
            <w:r w:rsidDel="00000000" w:rsidR="00000000" w:rsidRPr="00000000">
              <w:rPr>
                <w:rFonts w:ascii="Arial" w:cs="Arial" w:eastAsia="Arial" w:hAnsi="Arial"/>
                <w:i w:val="0"/>
                <w:color w:val="1b1c1d"/>
                <w:sz w:val="20"/>
                <w:szCs w:val="20"/>
                <w:shd w:fill="auto" w:val="clear"/>
                <w:rtl w:val="0"/>
              </w:rPr>
              <w:t xml:space="preserve"> Cash, other securities, or Letter of Credit </w:t>
            </w:r>
            <w:r w:rsidDel="00000000" w:rsidR="00000000" w:rsidRPr="00000000">
              <w:rPr>
                <w:rFonts w:ascii="Arial" w:cs="Arial" w:eastAsia="Arial" w:hAnsi="Arial"/>
                <w:i w:val="0"/>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Pricing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0"/>
                <w:szCs w:val="20"/>
                <w:shd w:fill="auto" w:val="clear"/>
                <w:rtl w:val="0"/>
              </w:rPr>
              <w:t xml:space="preserve">Repo Rate:</w:t>
            </w:r>
            <w:r w:rsidDel="00000000" w:rsidR="00000000" w:rsidRPr="00000000">
              <w:rPr>
                <w:rFonts w:ascii="Arial" w:cs="Arial" w:eastAsia="Arial" w:hAnsi="Arial"/>
                <w:i w:val="0"/>
                <w:color w:val="1b1c1d"/>
                <w:sz w:val="20"/>
                <w:szCs w:val="20"/>
                <w:shd w:fill="auto" w:val="clear"/>
                <w:rtl w:val="0"/>
              </w:rPr>
              <w:t xml:space="preserve"> An interest rate paid by the cash borrower </w:t>
            </w:r>
            <w:r w:rsidDel="00000000" w:rsidR="00000000" w:rsidRPr="00000000">
              <w:rPr>
                <w:rFonts w:ascii="Arial" w:cs="Arial" w:eastAsia="Arial" w:hAnsi="Arial"/>
                <w:i w:val="0"/>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b w:val="1"/>
                <w:i w:val="0"/>
                <w:color w:val="1b1c1d"/>
                <w:sz w:val="20"/>
                <w:szCs w:val="20"/>
                <w:shd w:fill="auto" w:val="clear"/>
                <w:rtl w:val="0"/>
              </w:rPr>
              <w:t xml:space="preserve">Lending Fee:</w:t>
            </w:r>
            <w:r w:rsidDel="00000000" w:rsidR="00000000" w:rsidRPr="00000000">
              <w:rPr>
                <w:rFonts w:ascii="Arial" w:cs="Arial" w:eastAsia="Arial" w:hAnsi="Arial"/>
                <w:i w:val="0"/>
                <w:color w:val="1b1c1d"/>
                <w:sz w:val="20"/>
                <w:szCs w:val="20"/>
                <w:shd w:fill="auto" w:val="clear"/>
                <w:rtl w:val="0"/>
              </w:rPr>
              <w:t xml:space="preserve"> A fee paid by the security borrower. Can be negative (a "rebate") if cash collateral is posted </w:t>
            </w:r>
            <w:r w:rsidDel="00000000" w:rsidR="00000000" w:rsidRPr="00000000">
              <w:rPr>
                <w:rFonts w:ascii="Arial" w:cs="Arial" w:eastAsia="Arial" w:hAnsi="Arial"/>
                <w:i w:val="0"/>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Governing Agreement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Global Master Repurchase Agreement (GMRA) </w:t>
            </w:r>
            <w:r w:rsidDel="00000000" w:rsidR="00000000" w:rsidRPr="00000000">
              <w:rPr>
                <w:rFonts w:ascii="Arial" w:cs="Arial" w:eastAsia="Arial" w:hAnsi="Arial"/>
                <w:i w:val="0"/>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Global Master Securities Lending Agreement (GMSLA)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Key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Cost of secured, systemic funding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Scarcity/demand for a specific security</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1.3 The Intermediaries: Mapping the Key Nodes in the System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financial plumbing is not a monolithic entity but a network of specialized institutions, each with distinct roles and incentives. Understanding these key nodes and the flows between them is essential for interpreting market signals correctly.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Primary Dealers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Primary dealers are banks and securities broker-dealers that have a formal relationship with the Federal Reserve Bank of New York. Their official role is to serve as mandatory trading counterparties for the Fed's open market operations and to participate meaningfully in all U.S. Treasury auctions.</w:t>
      </w:r>
      <w:r w:rsidDel="00000000" w:rsidR="00000000" w:rsidRPr="00000000">
        <w:rPr>
          <w:rFonts w:ascii="Arial" w:cs="Arial" w:eastAsia="Arial" w:hAnsi="Arial"/>
          <w:i w:val="0"/>
          <w:color w:val="575b5f"/>
          <w:sz w:val="24"/>
          <w:szCs w:val="24"/>
          <w:vertAlign w:val="superscript"/>
          <w:rtl w:val="0"/>
        </w:rPr>
        <w:t xml:space="preserve">21</w:t>
      </w:r>
      <w:r w:rsidDel="00000000" w:rsidR="00000000" w:rsidRPr="00000000">
        <w:rPr>
          <w:rFonts w:ascii="Arial" w:cs="Arial" w:eastAsia="Arial" w:hAnsi="Arial"/>
          <w:i w:val="0"/>
          <w:color w:val="1b1c1d"/>
          <w:sz w:val="24"/>
          <w:szCs w:val="24"/>
          <w:rtl w:val="0"/>
        </w:rPr>
        <w:t xml:space="preserve"> This formal role, however, understates their true significance. Primary dealers are the central intermediaries and market-makers in the U.S. government securities and repo markets. They absorb new Treasury issuance and distribute it to end investors, and they stand at the nexus of funding flows, connecting cash providers (like MMFs) with cash borrowers (like hedge funds).</w:t>
      </w:r>
      <w:r w:rsidDel="00000000" w:rsidR="00000000" w:rsidRPr="00000000">
        <w:rPr>
          <w:rFonts w:ascii="Arial" w:cs="Arial" w:eastAsia="Arial" w:hAnsi="Arial"/>
          <w:i w:val="0"/>
          <w:color w:val="575b5f"/>
          <w:sz w:val="24"/>
          <w:szCs w:val="24"/>
          <w:vertAlign w:val="superscript"/>
          <w:rtl w:val="0"/>
        </w:rPr>
        <w:t xml:space="preserve">16</w:t>
      </w:r>
      <w:r w:rsidDel="00000000" w:rsidR="00000000" w:rsidRPr="00000000">
        <w:rPr>
          <w:rFonts w:ascii="Arial" w:cs="Arial" w:eastAsia="Arial" w:hAnsi="Arial"/>
          <w:i w:val="0"/>
          <w:color w:val="1b1c1d"/>
          <w:sz w:val="24"/>
          <w:szCs w:val="24"/>
          <w:rtl w:val="0"/>
        </w:rPr>
        <w:t xml:space="preserve"> The FRBNY maintains a public list of these dealers and collects detailed data on their positions and financing activities through various reports (e.g., FR 2004).</w:t>
      </w:r>
      <w:r w:rsidDel="00000000" w:rsidR="00000000" w:rsidRPr="00000000">
        <w:rPr>
          <w:rFonts w:ascii="Arial" w:cs="Arial" w:eastAsia="Arial" w:hAnsi="Arial"/>
          <w:i w:val="0"/>
          <w:color w:val="575b5f"/>
          <w:sz w:val="24"/>
          <w:szCs w:val="24"/>
          <w:vertAlign w:val="superscript"/>
          <w:rtl w:val="0"/>
        </w:rPr>
        <w:t xml:space="preserve">22</w:t>
      </w:r>
      <w:r w:rsidDel="00000000" w:rsidR="00000000" w:rsidRPr="00000000">
        <w:rPr>
          <w:rFonts w:ascii="Arial" w:cs="Arial" w:eastAsia="Arial" w:hAnsi="Arial"/>
          <w:i w:val="0"/>
          <w:color w:val="1b1c1d"/>
          <w:sz w:val="24"/>
          <w:szCs w:val="24"/>
          <w:rtl w:val="0"/>
        </w:rPr>
        <w:t xml:space="preserve"> Their balance sheets are, in effect, the shock absorbers of the system, and their capacity to intermediate is a critical variable for market liquidity.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Money Market Funds (MMFs)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Money Market Funds are mutual funds that invest in short-term, high-quality debt instruments. They represent one of the largest single pools of cash in the financial system and are, by a significant margin, the largest net lenders of cash into the repo market.</w:t>
      </w:r>
      <w:r w:rsidDel="00000000" w:rsidR="00000000" w:rsidRPr="00000000">
        <w:rPr>
          <w:rFonts w:ascii="Arial" w:cs="Arial" w:eastAsia="Arial" w:hAnsi="Arial"/>
          <w:i w:val="0"/>
          <w:color w:val="575b5f"/>
          <w:sz w:val="24"/>
          <w:szCs w:val="24"/>
          <w:vertAlign w:val="superscript"/>
          <w:rtl w:val="0"/>
        </w:rPr>
        <w:t xml:space="preserve">12</w:t>
      </w:r>
      <w:r w:rsidDel="00000000" w:rsidR="00000000" w:rsidRPr="00000000">
        <w:rPr>
          <w:rFonts w:ascii="Arial" w:cs="Arial" w:eastAsia="Arial" w:hAnsi="Arial"/>
          <w:i w:val="0"/>
          <w:color w:val="1b1c1d"/>
          <w:sz w:val="24"/>
          <w:szCs w:val="24"/>
          <w:rtl w:val="0"/>
        </w:rPr>
        <w:t xml:space="preserve"> As of late 2020, MMFs accounted for nearly a quarter of all repo assets.</w:t>
      </w:r>
      <w:r w:rsidDel="00000000" w:rsidR="00000000" w:rsidRPr="00000000">
        <w:rPr>
          <w:rFonts w:ascii="Arial" w:cs="Arial" w:eastAsia="Arial" w:hAnsi="Arial"/>
          <w:i w:val="0"/>
          <w:color w:val="575b5f"/>
          <w:sz w:val="24"/>
          <w:szCs w:val="24"/>
          <w:vertAlign w:val="superscript"/>
          <w:rtl w:val="0"/>
        </w:rPr>
        <w:t xml:space="preserve">12</w:t>
      </w:r>
      <w:r w:rsidDel="00000000" w:rsidR="00000000" w:rsidRPr="00000000">
        <w:rPr>
          <w:rFonts w:ascii="Arial" w:cs="Arial" w:eastAsia="Arial" w:hAnsi="Arial"/>
          <w:i w:val="0"/>
          <w:color w:val="1b1c1d"/>
          <w:sz w:val="24"/>
          <w:szCs w:val="24"/>
          <w:rtl w:val="0"/>
        </w:rPr>
        <w:t xml:space="preserve"> Their behavior is a primary driver of repo market dynamics. There are two main types:</w:t>
      </w:r>
    </w:p>
    <w:p w:rsidR="00000000" w:rsidDel="00000000" w:rsidP="00000000" w:rsidRDefault="00000000" w:rsidRPr="00000000" w14:paraId="0000005B">
      <w:pPr>
        <w:numPr>
          <w:ilvl w:val="0"/>
          <w:numId w:val="1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Government MMFs:</w:t>
      </w:r>
      <w:r w:rsidDel="00000000" w:rsidR="00000000" w:rsidRPr="00000000">
        <w:rPr>
          <w:rFonts w:ascii="Arial" w:cs="Arial" w:eastAsia="Arial" w:hAnsi="Arial"/>
          <w:i w:val="0"/>
          <w:color w:val="1b1c1d"/>
          <w:sz w:val="24"/>
          <w:szCs w:val="24"/>
          <w:rtl w:val="0"/>
        </w:rPr>
        <w:t xml:space="preserve"> These funds must invest at least 99.5% of their assets in cash, government securities, or repos collateralized by government securities. They are the dominant players in the Treasury repo market.</w:t>
      </w:r>
      <w:r w:rsidDel="00000000" w:rsidR="00000000" w:rsidRPr="00000000">
        <w:rPr>
          <w:rFonts w:ascii="Arial" w:cs="Arial" w:eastAsia="Arial" w:hAnsi="Arial"/>
          <w:i w:val="0"/>
          <w:color w:val="575b5f"/>
          <w:sz w:val="24"/>
          <w:szCs w:val="24"/>
          <w:vertAlign w:val="superscript"/>
          <w:rtl w:val="0"/>
        </w:rPr>
        <w:t xml:space="preserve">12</w:t>
      </w:r>
      <w:r w:rsidDel="00000000" w:rsidR="00000000" w:rsidRPr="00000000">
        <w:rPr>
          <w:rtl w:val="0"/>
        </w:rPr>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Prime MMFs:</w:t>
      </w:r>
      <w:r w:rsidDel="00000000" w:rsidR="00000000" w:rsidRPr="00000000">
        <w:rPr>
          <w:rFonts w:ascii="Arial" w:cs="Arial" w:eastAsia="Arial" w:hAnsi="Arial"/>
          <w:i w:val="0"/>
          <w:color w:val="1b1c1d"/>
          <w:sz w:val="24"/>
          <w:szCs w:val="24"/>
          <w:rtl w:val="0"/>
        </w:rPr>
        <w:t xml:space="preserve"> These funds have a broader mandate and can also invest in high-quality corporate debt, such as commercial paper and certificates of deposit.</w:t>
      </w:r>
      <w:r w:rsidDel="00000000" w:rsidR="00000000" w:rsidRPr="00000000">
        <w:rPr>
          <w:rFonts w:ascii="Arial" w:cs="Arial" w:eastAsia="Arial" w:hAnsi="Arial"/>
          <w:i w:val="0"/>
          <w:color w:val="575b5f"/>
          <w:sz w:val="24"/>
          <w:szCs w:val="24"/>
          <w:vertAlign w:val="superscript"/>
          <w:rtl w:val="0"/>
        </w:rPr>
        <w:t xml:space="preserve">12</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crucial relationship is between MMFs, dealers, and the Fed's ON RRP facility. MMFs lend cash to dealers in the repo market. When private market repo rates fall below the Fed's ON RRP rate, or when dealers have limited balance sheet capacity to take on more repo, MMFs will shift their cash to the ON RRP facility.</w:t>
      </w:r>
      <w:r w:rsidDel="00000000" w:rsidR="00000000" w:rsidRPr="00000000">
        <w:rPr>
          <w:rFonts w:ascii="Arial" w:cs="Arial" w:eastAsia="Arial" w:hAnsi="Arial"/>
          <w:i w:val="0"/>
          <w:color w:val="575b5f"/>
          <w:sz w:val="24"/>
          <w:szCs w:val="24"/>
          <w:vertAlign w:val="superscript"/>
          <w:rtl w:val="0"/>
        </w:rPr>
        <w:t xml:space="preserve">11</w:t>
      </w:r>
      <w:r w:rsidDel="00000000" w:rsidR="00000000" w:rsidRPr="00000000">
        <w:rPr>
          <w:rFonts w:ascii="Arial" w:cs="Arial" w:eastAsia="Arial" w:hAnsi="Arial"/>
          <w:i w:val="0"/>
          <w:color w:val="1b1c1d"/>
          <w:sz w:val="24"/>
          <w:szCs w:val="24"/>
          <w:rtl w:val="0"/>
        </w:rPr>
        <w:t xml:space="preserve"> Therefore, the daily volume of the ON RRP facility is a direct measure of the MMF cash that is not being intermediated by the private dealer community.</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Financial Market Infrastructures (FMIs)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FMIs are the critical "pipes" of the plumbing system, providing the infrastructure for clearing, settling, and recording transactions.</w:t>
      </w:r>
      <w:r w:rsidDel="00000000" w:rsidR="00000000" w:rsidRPr="00000000">
        <w:rPr>
          <w:rFonts w:ascii="Arial" w:cs="Arial" w:eastAsia="Arial" w:hAnsi="Arial"/>
          <w:i w:val="0"/>
          <w:color w:val="575b5f"/>
          <w:sz w:val="24"/>
          <w:szCs w:val="24"/>
          <w:vertAlign w:val="superscript"/>
          <w:rtl w:val="0"/>
        </w:rPr>
        <w:t xml:space="preserve">2</w:t>
      </w:r>
      <w:r w:rsidDel="00000000" w:rsidR="00000000" w:rsidRPr="00000000">
        <w:rPr>
          <w:rFonts w:ascii="Arial" w:cs="Arial" w:eastAsia="Arial" w:hAnsi="Arial"/>
          <w:i w:val="0"/>
          <w:color w:val="1b1c1d"/>
          <w:sz w:val="24"/>
          <w:szCs w:val="24"/>
          <w:rtl w:val="0"/>
        </w:rPr>
        <w:t xml:space="preserve"> Their role is to increase efficiency and reduce counterparty and settlement risk. Key FMIs in this context include:</w:t>
      </w:r>
    </w:p>
    <w:p w:rsidR="00000000" w:rsidDel="00000000" w:rsidP="00000000" w:rsidRDefault="00000000" w:rsidRPr="00000000" w14:paraId="00000060">
      <w:pPr>
        <w:numPr>
          <w:ilvl w:val="0"/>
          <w:numId w:val="1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The Fixed Income Clearing Corporation (FICC):</w:t>
      </w:r>
      <w:r w:rsidDel="00000000" w:rsidR="00000000" w:rsidRPr="00000000">
        <w:rPr>
          <w:rFonts w:ascii="Arial" w:cs="Arial" w:eastAsia="Arial" w:hAnsi="Arial"/>
          <w:i w:val="0"/>
          <w:color w:val="1b1c1d"/>
          <w:sz w:val="24"/>
          <w:szCs w:val="24"/>
          <w:rtl w:val="0"/>
        </w:rPr>
        <w:t xml:space="preserve"> A subsidiary of the Depository Trust &amp; Clearing Corporation (DTCC), FICC is the central clearinghouse for the U.S. government securities market. Its Government Securities Division (GSD) nets and guarantees settlement of trades, including GCF Repo transactions, which significantly reduces systemic risk by preventing the failure of one dealer from cascading through the market.</w:t>
      </w:r>
      <w:r w:rsidDel="00000000" w:rsidR="00000000" w:rsidRPr="00000000">
        <w:rPr>
          <w:rFonts w:ascii="Arial" w:cs="Arial" w:eastAsia="Arial" w:hAnsi="Arial"/>
          <w:i w:val="0"/>
          <w:color w:val="575b5f"/>
          <w:sz w:val="24"/>
          <w:szCs w:val="24"/>
          <w:vertAlign w:val="superscript"/>
          <w:rtl w:val="0"/>
        </w:rPr>
        <w:t xml:space="preserve">16</w:t>
      </w:r>
      <w:r w:rsidDel="00000000" w:rsidR="00000000" w:rsidRPr="00000000">
        <w:rPr>
          <w:rtl w:val="0"/>
        </w:rPr>
      </w:r>
    </w:p>
    <w:p w:rsidR="00000000" w:rsidDel="00000000" w:rsidP="00000000" w:rsidRDefault="00000000" w:rsidRPr="00000000" w14:paraId="00000061">
      <w:pPr>
        <w:numPr>
          <w:ilvl w:val="0"/>
          <w:numId w:val="19"/>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Custodian Banks:</w:t>
      </w:r>
      <w:r w:rsidDel="00000000" w:rsidR="00000000" w:rsidRPr="00000000">
        <w:rPr>
          <w:rFonts w:ascii="Arial" w:cs="Arial" w:eastAsia="Arial" w:hAnsi="Arial"/>
          <w:i w:val="0"/>
          <w:color w:val="1b1c1d"/>
          <w:sz w:val="24"/>
          <w:szCs w:val="24"/>
          <w:rtl w:val="0"/>
        </w:rPr>
        <w:t xml:space="preserve"> Large global banks like BNY Mellon and JPMorgan Chase play a vital operational role as tri-party agents in the repo market and as lending agents in securities lending programs.</w:t>
      </w:r>
      <w:r w:rsidDel="00000000" w:rsidR="00000000" w:rsidRPr="00000000">
        <w:rPr>
          <w:rFonts w:ascii="Arial" w:cs="Arial" w:eastAsia="Arial" w:hAnsi="Arial"/>
          <w:i w:val="0"/>
          <w:color w:val="575b5f"/>
          <w:sz w:val="24"/>
          <w:szCs w:val="24"/>
          <w:vertAlign w:val="superscript"/>
          <w:rtl w:val="0"/>
        </w:rPr>
        <w:t xml:space="preserve">16</w:t>
      </w:r>
      <w:r w:rsidDel="00000000" w:rsidR="00000000" w:rsidRPr="00000000">
        <w:rPr>
          <w:rFonts w:ascii="Arial" w:cs="Arial" w:eastAsia="Arial" w:hAnsi="Arial"/>
          <w:i w:val="0"/>
          <w:color w:val="1b1c1d"/>
          <w:sz w:val="24"/>
          <w:szCs w:val="24"/>
          <w:rtl w:val="0"/>
        </w:rPr>
        <w:t xml:space="preserve"> As tri-party agents, they manage the collateral on behalf of the two trading counterparties. As lending agents, they manage the securities lending programs for large institutional investors like pension funds and endowments.</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entire system can be visualized as a network of interconnected balance sheets. A regulatory change or a market shock that impacts one key participant inevitably creates a "kink" in the plumbing that reroutes financial flows and changes prices throughout the network. The rise of the ON RRP facility is the canonical example of this dynamic. The massive QE programs following the 2008 crisis loaded up commercial bank balance sheets with reserves (an asset) and customer deposits (a liability).</w:t>
      </w:r>
      <w:r w:rsidDel="00000000" w:rsidR="00000000" w:rsidRPr="00000000">
        <w:rPr>
          <w:rFonts w:ascii="Arial" w:cs="Arial" w:eastAsia="Arial" w:hAnsi="Arial"/>
          <w:i w:val="0"/>
          <w:color w:val="575b5f"/>
          <w:sz w:val="24"/>
          <w:szCs w:val="24"/>
          <w:vertAlign w:val="superscript"/>
          <w:rtl w:val="0"/>
        </w:rPr>
        <w:t xml:space="preserve">13</w:t>
      </w:r>
      <w:r w:rsidDel="00000000" w:rsidR="00000000" w:rsidRPr="00000000">
        <w:rPr>
          <w:rFonts w:ascii="Arial" w:cs="Arial" w:eastAsia="Arial" w:hAnsi="Arial"/>
          <w:i w:val="0"/>
          <w:color w:val="1b1c1d"/>
          <w:sz w:val="24"/>
          <w:szCs w:val="24"/>
          <w:rtl w:val="0"/>
        </w:rPr>
        <w:t xml:space="preserve"> Concurrently, new post-crisis regulations, particularly the Supplementary Leverage Ratio (SLR), required banks to hold capital against their total assets, including low-risk reserves. This made holding vast quantities of low-yielding reserves economically unattractive for banks, creating a powerful incentive to shed these assets and the corresponding deposits.</w:t>
      </w:r>
      <w:r w:rsidDel="00000000" w:rsidR="00000000" w:rsidRPr="00000000">
        <w:rPr>
          <w:rFonts w:ascii="Arial" w:cs="Arial" w:eastAsia="Arial" w:hAnsi="Arial"/>
          <w:i w:val="0"/>
          <w:color w:val="575b5f"/>
          <w:sz w:val="24"/>
          <w:szCs w:val="24"/>
          <w:vertAlign w:val="superscript"/>
          <w:rtl w:val="0"/>
        </w:rPr>
        <w:t xml:space="preserve">13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Fed's ON RRP facility provided the perfect escape valve. It allowed MMFs (which held large deposits at the banks) to lend their cash directly to the Fed. This action moved the liability from the commercial bank's balance sheet to the Fed's balance sheet, freeing up precious balance sheet capacity for the bank.</w:t>
      </w:r>
      <w:r w:rsidDel="00000000" w:rsidR="00000000" w:rsidRPr="00000000">
        <w:rPr>
          <w:rFonts w:ascii="Arial" w:cs="Arial" w:eastAsia="Arial" w:hAnsi="Arial"/>
          <w:i w:val="0"/>
          <w:color w:val="575b5f"/>
          <w:sz w:val="24"/>
          <w:szCs w:val="24"/>
          <w:vertAlign w:val="superscript"/>
          <w:rtl w:val="0"/>
        </w:rPr>
        <w:t xml:space="preserve">13</w:t>
      </w:r>
      <w:r w:rsidDel="00000000" w:rsidR="00000000" w:rsidRPr="00000000">
        <w:rPr>
          <w:rFonts w:ascii="Arial" w:cs="Arial" w:eastAsia="Arial" w:hAnsi="Arial"/>
          <w:i w:val="0"/>
          <w:color w:val="1b1c1d"/>
          <w:sz w:val="24"/>
          <w:szCs w:val="24"/>
          <w:rtl w:val="0"/>
        </w:rPr>
        <w:t xml:space="preserve"> Consequently, a high and persistent usage of the ON RRP facility is a direct, quantifiable signal of dealer balance sheet constraint. A dealer with a constrained balance sheet will be more selective and charge higher spreads for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1"/>
          <w:color w:val="1b1c1d"/>
          <w:sz w:val="24"/>
          <w:szCs w:val="24"/>
          <w:rtl w:val="0"/>
        </w:rPr>
        <w:t xml:space="preserve">all its</w:t>
      </w:r>
      <w:r w:rsidDel="00000000" w:rsidR="00000000" w:rsidRPr="00000000">
        <w:rPr>
          <w:rFonts w:ascii="Arial" w:cs="Arial" w:eastAsia="Arial" w:hAnsi="Arial"/>
          <w:i w:val="0"/>
          <w:color w:val="1b1c1d"/>
          <w:sz w:val="24"/>
          <w:szCs w:val="24"/>
          <w:rtl w:val="0"/>
        </w:rPr>
        <w:t xml:space="preserve"> financing activities, including its securities lending book. This establishes a powerful, actionable link: </w:t>
      </w:r>
      <w:r w:rsidDel="00000000" w:rsidR="00000000" w:rsidRPr="00000000">
        <w:rPr>
          <w:rFonts w:ascii="Arial" w:cs="Arial" w:eastAsia="Arial" w:hAnsi="Arial"/>
          <w:b w:val="1"/>
          <w:i w:val="0"/>
          <w:color w:val="1b1c1d"/>
          <w:sz w:val="24"/>
          <w:szCs w:val="24"/>
          <w:rtl w:val="0"/>
        </w:rPr>
        <w:t xml:space="preserve">ON RRP usage can be used as an inverse proxy for dealer balance sheet capacity and overall risk appetite</w:t>
      </w:r>
      <w:r w:rsidDel="00000000" w:rsidR="00000000" w:rsidRPr="00000000">
        <w:rPr>
          <w:rFonts w:ascii="Arial" w:cs="Arial" w:eastAsia="Arial" w:hAnsi="Arial"/>
          <w:i w:val="0"/>
          <w:color w:val="1b1c1d"/>
          <w:sz w:val="24"/>
          <w:szCs w:val="24"/>
          <w:rtl w:val="0"/>
        </w:rPr>
        <w:t xml:space="preserve">, a signal that has direct implications for the cost and availability of securities finance.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Participant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Primary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Key 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Market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Federal 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Monetary policy implementation; Lender/Borrower of last resort </w:t>
            </w:r>
            <w:r w:rsidDel="00000000" w:rsidR="00000000" w:rsidRPr="00000000">
              <w:rPr>
                <w:rFonts w:ascii="Arial" w:cs="Arial" w:eastAsia="Arial" w:hAnsi="Arial"/>
                <w:i w:val="0"/>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Achieve dual mandate (price stability, max employment) </w:t>
            </w:r>
            <w:r w:rsidDel="00000000" w:rsidR="00000000" w:rsidRPr="00000000">
              <w:rPr>
                <w:rFonts w:ascii="Arial" w:cs="Arial" w:eastAsia="Arial" w:hAnsi="Arial"/>
                <w:i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Sets the "rules of the game" via administered rates and facilities; provides/absorbs ultimate liquidity.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Primary Dealers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Market-maker; Intermediary; Fed counterparty </w:t>
            </w:r>
            <w:r w:rsidDel="00000000" w:rsidR="00000000" w:rsidRPr="00000000">
              <w:rPr>
                <w:rFonts w:ascii="Arial" w:cs="Arial" w:eastAsia="Arial" w:hAnsi="Arial"/>
                <w:i w:val="0"/>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Intermediation profit (bid-ask spread); Financing inventory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Central node connecting cash and collateral; their balance sheet capacity dictates market liquidity.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Money Market Funds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Major cash lender in repo market </w:t>
            </w:r>
            <w:r w:rsidDel="00000000" w:rsidR="00000000" w:rsidRPr="00000000">
              <w:rPr>
                <w:rFonts w:ascii="Arial" w:cs="Arial" w:eastAsia="Arial" w:hAnsi="Arial"/>
                <w:i w:val="0"/>
                <w:color w:val="575b5f"/>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Earn a safe, liquid yield on cash balances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Largest source of private funding for dealers; their allocation decisions (repo vs. ON RRP) are a key signal.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Financial Market Infrastructures (FICC, Custodians)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Clearing, settlement, collateral management </w:t>
            </w:r>
            <w:r w:rsidDel="00000000" w:rsidR="00000000" w:rsidRPr="00000000">
              <w:rPr>
                <w:rFonts w:ascii="Arial" w:cs="Arial" w:eastAsia="Arial" w:hAnsi="Arial"/>
                <w:i w:val="0"/>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Reduce risk; increase operational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Mitigate counterparty risk; enable high-volume, standardized trading in markets like tri-party and GCF repo.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Hedge Funds / Leveraged Investors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Cash borrower in repo; Security borrower in sec lending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Finance long positions; Execute short sales &amp; arbitrage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Primary source of demand for leverage and specific securities, driving prices in both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Asset Managers / Pension Funds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Security lender; Occasional cash investor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Generate incremental yield on long-term holdings </w:t>
            </w:r>
            <w:r w:rsidDel="00000000" w:rsidR="00000000" w:rsidRPr="00000000">
              <w:rPr>
                <w:rFonts w:ascii="Arial" w:cs="Arial" w:eastAsia="Arial" w:hAnsi="Arial"/>
                <w:i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Largest source of lendable securities, determining the supply side of the securities lending market.</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Section 2: A Quantitative Framework for Signal Generatio</w:t>
      </w:r>
      <w:r w:rsidDel="00000000" w:rsidR="00000000" w:rsidRPr="00000000">
        <w:rPr>
          <w:rFonts w:ascii="Arial" w:cs="Arial" w:eastAsia="Arial" w:hAnsi="Arial"/>
          <w:color w:val="1b1c1d"/>
          <w:sz w:val="30"/>
          <w:szCs w:val="30"/>
          <w:rtl w:val="0"/>
        </w:rPr>
        <w:t xml:space="preserve">n</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Fonts w:ascii="Arial" w:cs="Arial" w:eastAsia="Arial" w:hAnsi="Arial"/>
          <w:i w:val="0"/>
          <w:color w:val="1b1c1d"/>
          <w:sz w:val="24"/>
          <w:szCs w:val="24"/>
          <w:rtl w:val="0"/>
        </w:rPr>
        <w:t xml:space="preserve">This section transitions from description to prescription. It provides a concrete, data-driven framework for identifying, measuring, and integrating macro-plumbing signals into a quantitative securities finance process.</w:t>
      </w: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2.1 The Signal Dashboard: Key Macro-Plumbing Indicators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Fonts w:ascii="Arial" w:cs="Arial" w:eastAsia="Arial" w:hAnsi="Arial"/>
          <w:i w:val="0"/>
          <w:color w:val="1b1c1d"/>
          <w:sz w:val="24"/>
          <w:szCs w:val="24"/>
          <w:rtl w:val="0"/>
        </w:rPr>
        <w:t xml:space="preserve">A robust monitoring system begins with a curated set of high-frequency data series that capture the health and stress levels of the financial plumbing. The following indicators form the core of the proposed signal dashboard. For each, the data source, ticker (where available via the Federal Reserve Economic Data - FRED), and analytical significance are provided.</w:t>
      </w:r>
      <w:r w:rsidDel="00000000" w:rsidR="00000000" w:rsidRPr="00000000">
        <w:rPr>
          <w:rtl w:val="0"/>
        </w:rPr>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Policy &amp; Risk-Free Rates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These are the foundational rates set by policy or derived from transactions collateralized by risk-free assets.</w:t>
      </w:r>
    </w:p>
    <w:p w:rsidR="00000000" w:rsidDel="00000000" w:rsidP="00000000" w:rsidRDefault="00000000" w:rsidRPr="00000000" w14:paraId="00000089">
      <w:pPr>
        <w:numPr>
          <w:ilvl w:val="0"/>
          <w:numId w:val="2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Effective Federal Funds Rate (EFFR):</w:t>
      </w:r>
      <w:r w:rsidDel="00000000" w:rsidR="00000000" w:rsidRPr="00000000">
        <w:rPr>
          <w:rFonts w:ascii="Arial" w:cs="Arial" w:eastAsia="Arial" w:hAnsi="Arial"/>
          <w:i w:val="0"/>
          <w:color w:val="1b1c1d"/>
          <w:sz w:val="24"/>
          <w:szCs w:val="24"/>
          <w:rtl w:val="0"/>
        </w:rPr>
        <w:t xml:space="preserve"> The primary policy rate benchmark, representing the median cost of overnight unsecured interbank borrowing. Deviations from the target range are a clear sign of implementation stress. Source: NY Fed. FRED: EFFR.</w:t>
      </w:r>
      <w:r w:rsidDel="00000000" w:rsidR="00000000" w:rsidRPr="00000000">
        <w:rPr>
          <w:rFonts w:ascii="Arial" w:cs="Arial" w:eastAsia="Arial" w:hAnsi="Arial"/>
          <w:i w:val="0"/>
          <w:color w:val="575b5f"/>
          <w:sz w:val="24"/>
          <w:szCs w:val="24"/>
          <w:vertAlign w:val="superscript"/>
          <w:rtl w:val="0"/>
        </w:rPr>
        <w:t xml:space="preserve">7</w:t>
      </w:r>
      <w:r w:rsidDel="00000000" w:rsidR="00000000" w:rsidRPr="00000000">
        <w:rPr>
          <w:rtl w:val="0"/>
        </w:rPr>
      </w:r>
    </w:p>
    <w:p w:rsidR="00000000" w:rsidDel="00000000" w:rsidP="00000000" w:rsidRDefault="00000000" w:rsidRPr="00000000" w14:paraId="0000008A">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Secured Overnight Financing Rate (SOFR):</w:t>
      </w:r>
      <w:r w:rsidDel="00000000" w:rsidR="00000000" w:rsidRPr="00000000">
        <w:rPr>
          <w:rFonts w:ascii="Arial" w:cs="Arial" w:eastAsia="Arial" w:hAnsi="Arial"/>
          <w:i w:val="0"/>
          <w:color w:val="1b1c1d"/>
          <w:sz w:val="24"/>
          <w:szCs w:val="24"/>
          <w:rtl w:val="0"/>
        </w:rPr>
        <w:t xml:space="preserve"> The broadest measure of the cost of borrowing cash overnight collateralized by U.S. Treasury securities. It is the primary benchmark for the secured funding market. Source: NY Fed. FRED: SOFR.</w:t>
      </w:r>
      <w:r w:rsidDel="00000000" w:rsidR="00000000" w:rsidRPr="00000000">
        <w:rPr>
          <w:rFonts w:ascii="Arial" w:cs="Arial" w:eastAsia="Arial" w:hAnsi="Arial"/>
          <w:i w:val="0"/>
          <w:color w:val="575b5f"/>
          <w:sz w:val="24"/>
          <w:szCs w:val="24"/>
          <w:vertAlign w:val="superscript"/>
          <w:rtl w:val="0"/>
        </w:rPr>
        <w:t xml:space="preserve">30</w:t>
      </w:r>
      <w:r w:rsidDel="00000000" w:rsidR="00000000" w:rsidRPr="00000000">
        <w:rPr>
          <w:rtl w:val="0"/>
        </w:rPr>
      </w:r>
    </w:p>
    <w:p w:rsidR="00000000" w:rsidDel="00000000" w:rsidP="00000000" w:rsidRDefault="00000000" w:rsidRPr="00000000" w14:paraId="0000008B">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SOFR Term Averages &amp; Percentiles:</w:t>
      </w:r>
      <w:r w:rsidDel="00000000" w:rsidR="00000000" w:rsidRPr="00000000">
        <w:rPr>
          <w:rFonts w:ascii="Arial" w:cs="Arial" w:eastAsia="Arial" w:hAnsi="Arial"/>
          <w:i w:val="0"/>
          <w:color w:val="1b1c1d"/>
          <w:sz w:val="24"/>
          <w:szCs w:val="24"/>
          <w:rtl w:val="0"/>
        </w:rPr>
        <w:t xml:space="preserve"> The 30, 90, and 180-day compounded averages of SOFR provide a smoother view of funding costs over time. The 1st, 25th, 75th, and 99th percentiles of the daily SOFR transaction distribution are crucial for measuring market dispersion and volatility; a wide inter-percentile range indicates stress and segmentation. Source: NY Fed. FRED: SOFR30DAYAVG, SOFR90DAYAVG, SOFR180DAYAVG, SOFR25, SOFR75, SOFR99.</w:t>
      </w:r>
      <w:r w:rsidDel="00000000" w:rsidR="00000000" w:rsidRPr="00000000">
        <w:rPr>
          <w:rFonts w:ascii="Arial" w:cs="Arial" w:eastAsia="Arial" w:hAnsi="Arial"/>
          <w:i w:val="0"/>
          <w:color w:val="575b5f"/>
          <w:sz w:val="24"/>
          <w:szCs w:val="24"/>
          <w:vertAlign w:val="superscript"/>
          <w:rtl w:val="0"/>
        </w:rPr>
        <w:t xml:space="preserve">32</w:t>
      </w:r>
      <w:r w:rsidDel="00000000" w:rsidR="00000000" w:rsidRPr="00000000">
        <w:rPr>
          <w:rtl w:val="0"/>
        </w:rPr>
      </w:r>
    </w:p>
    <w:p w:rsidR="00000000" w:rsidDel="00000000" w:rsidP="00000000" w:rsidRDefault="00000000" w:rsidRPr="00000000" w14:paraId="0000008C">
      <w:pPr>
        <w:numPr>
          <w:ilvl w:val="0"/>
          <w:numId w:val="20"/>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ON RRP Rate:</w:t>
      </w:r>
      <w:r w:rsidDel="00000000" w:rsidR="00000000" w:rsidRPr="00000000">
        <w:rPr>
          <w:rFonts w:ascii="Arial" w:cs="Arial" w:eastAsia="Arial" w:hAnsi="Arial"/>
          <w:i w:val="0"/>
          <w:color w:val="1b1c1d"/>
          <w:sz w:val="24"/>
          <w:szCs w:val="24"/>
          <w:rtl w:val="0"/>
        </w:rPr>
        <w:t xml:space="preserve"> The floor of the Fed's policy corridor, offered to non-bank participants. Source: NY Fed. FRED: RRPONTSYAWARD.</w:t>
      </w:r>
      <w:r w:rsidDel="00000000" w:rsidR="00000000" w:rsidRPr="00000000">
        <w:rPr>
          <w:rFonts w:ascii="Arial" w:cs="Arial" w:eastAsia="Arial" w:hAnsi="Arial"/>
          <w:i w:val="0"/>
          <w:color w:val="575b5f"/>
          <w:sz w:val="24"/>
          <w:szCs w:val="24"/>
          <w:vertAlign w:val="superscript"/>
          <w:rtl w:val="0"/>
        </w:rPr>
        <w:t xml:space="preserve">35</w:t>
      </w:r>
      <w:r w:rsidDel="00000000" w:rsidR="00000000" w:rsidRPr="00000000">
        <w:rPr>
          <w:rtl w:val="0"/>
        </w:rPr>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Credit-Sensitive &amp; Funding Rates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These rates incorporate an element of credit risk or reflect funding costs for specific market segments.</w:t>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Overnight Bank Funding Rate (OBFR):</w:t>
      </w:r>
      <w:r w:rsidDel="00000000" w:rsidR="00000000" w:rsidRPr="00000000">
        <w:rPr>
          <w:rFonts w:ascii="Arial" w:cs="Arial" w:eastAsia="Arial" w:hAnsi="Arial"/>
          <w:i w:val="0"/>
          <w:color w:val="1b1c1d"/>
          <w:sz w:val="24"/>
          <w:szCs w:val="24"/>
          <w:rtl w:val="0"/>
        </w:rPr>
        <w:t xml:space="preserve"> A broader measure of unsecured overnight bank funding costs that includes not only federal funds transactions but also Eurodollar transactions. It provides a more comprehensive view of bank funding stress. Source: NY Fed. FRED: OBFR.</w:t>
      </w:r>
      <w:r w:rsidDel="00000000" w:rsidR="00000000" w:rsidRPr="00000000">
        <w:rPr>
          <w:rFonts w:ascii="Arial" w:cs="Arial" w:eastAsia="Arial" w:hAnsi="Arial"/>
          <w:i w:val="0"/>
          <w:color w:val="575b5f"/>
          <w:sz w:val="24"/>
          <w:szCs w:val="24"/>
          <w:vertAlign w:val="superscript"/>
          <w:rtl w:val="0"/>
        </w:rPr>
        <w:t xml:space="preserve">37</w:t>
      </w:r>
      <w:r w:rsidDel="00000000" w:rsidR="00000000" w:rsidRPr="00000000">
        <w:rPr>
          <w:rtl w:val="0"/>
        </w:rPr>
      </w:r>
    </w:p>
    <w:p w:rsidR="00000000" w:rsidDel="00000000" w:rsidP="00000000" w:rsidRDefault="00000000" w:rsidRPr="00000000" w14:paraId="00000090">
      <w:pPr>
        <w:numPr>
          <w:ilvl w:val="0"/>
          <w:numId w:val="2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GCF Repo Index:</w:t>
      </w:r>
      <w:r w:rsidDel="00000000" w:rsidR="00000000" w:rsidRPr="00000000">
        <w:rPr>
          <w:rFonts w:ascii="Arial" w:cs="Arial" w:eastAsia="Arial" w:hAnsi="Arial"/>
          <w:i w:val="0"/>
          <w:color w:val="1b1c1d"/>
          <w:sz w:val="24"/>
          <w:szCs w:val="24"/>
          <w:rtl w:val="0"/>
        </w:rPr>
        <w:t xml:space="preserve"> Tracks the average daily interest rates for General Collateral Finance (GCF) Repo contracts for U.S. Treasury and agency MBS. This represents the cost of secured funding in the core interdealer market. Source: DTCC/FICC. Available via SIFMA, Bloomberg, and other data vendors.</w:t>
      </w:r>
      <w:r w:rsidDel="00000000" w:rsidR="00000000" w:rsidRPr="00000000">
        <w:rPr>
          <w:rFonts w:ascii="Arial" w:cs="Arial" w:eastAsia="Arial" w:hAnsi="Arial"/>
          <w:i w:val="0"/>
          <w:color w:val="575b5f"/>
          <w:sz w:val="24"/>
          <w:szCs w:val="24"/>
          <w:vertAlign w:val="superscript"/>
          <w:rtl w:val="0"/>
        </w:rPr>
        <w:t xml:space="preserve">17</w:t>
      </w:r>
      <w:r w:rsidDel="00000000" w:rsidR="00000000" w:rsidRPr="00000000">
        <w:rPr>
          <w:rtl w:val="0"/>
        </w:rPr>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Key Spreads (Calculated Indicators)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Spreads between key rates are often more powerful signals than the rates themselves, as they isolate specific risk factors.</w:t>
      </w:r>
    </w:p>
    <w:p w:rsidR="00000000" w:rsidDel="00000000" w:rsidP="00000000" w:rsidRDefault="00000000" w:rsidRPr="00000000" w14:paraId="00000093">
      <w:pPr>
        <w:numPr>
          <w:ilvl w:val="0"/>
          <w:numId w:val="2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OBFR - SOFR Spread:</w:t>
      </w:r>
      <w:r w:rsidDel="00000000" w:rsidR="00000000" w:rsidRPr="00000000">
        <w:rPr>
          <w:rFonts w:ascii="Arial" w:cs="Arial" w:eastAsia="Arial" w:hAnsi="Arial"/>
          <w:i w:val="0"/>
          <w:color w:val="1b1c1d"/>
          <w:sz w:val="24"/>
          <w:szCs w:val="24"/>
          <w:rtl w:val="0"/>
        </w:rPr>
        <w:t xml:space="preserve"> This is a key real-time indicator of perceived bank credit risk and systemic funding stress. A widening spread indicates that the market is demanding a higher premium to lend unsecured to banks compared to lending secured against Treasuries.</w:t>
      </w:r>
      <w:r w:rsidDel="00000000" w:rsidR="00000000" w:rsidRPr="00000000">
        <w:rPr>
          <w:rtl w:val="0"/>
        </w:rPr>
      </w:r>
    </w:p>
    <w:p w:rsidR="00000000" w:rsidDel="00000000" w:rsidP="00000000" w:rsidRDefault="00000000" w:rsidRPr="00000000" w14:paraId="00000094">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SOFR - ON RRP Rate Spread:</w:t>
      </w:r>
      <w:r w:rsidDel="00000000" w:rsidR="00000000" w:rsidRPr="00000000">
        <w:rPr>
          <w:rFonts w:ascii="Arial" w:cs="Arial" w:eastAsia="Arial" w:hAnsi="Arial"/>
          <w:i w:val="0"/>
          <w:color w:val="1b1c1d"/>
          <w:sz w:val="24"/>
          <w:szCs w:val="24"/>
          <w:rtl w:val="0"/>
        </w:rPr>
        <w:t xml:space="preserve"> This measures the premium of private repo market rates over the Fed's risk-free alternative. A very narrow or negative spread indicates a glut of cash chasing scarce collateral. A widening spread indicates tightening funding conditions.</w:t>
      </w:r>
      <w:r w:rsidDel="00000000" w:rsidR="00000000" w:rsidRPr="00000000">
        <w:rPr>
          <w:rtl w:val="0"/>
        </w:rPr>
      </w:r>
    </w:p>
    <w:p w:rsidR="00000000" w:rsidDel="00000000" w:rsidP="00000000" w:rsidRDefault="00000000" w:rsidRPr="00000000" w14:paraId="00000095">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GCF Treasury Rate - SOFR Spread:</w:t>
      </w:r>
      <w:r w:rsidDel="00000000" w:rsidR="00000000" w:rsidRPr="00000000">
        <w:rPr>
          <w:rFonts w:ascii="Arial" w:cs="Arial" w:eastAsia="Arial" w:hAnsi="Arial"/>
          <w:i w:val="0"/>
          <w:color w:val="1b1c1d"/>
          <w:sz w:val="24"/>
          <w:szCs w:val="24"/>
          <w:rtl w:val="0"/>
        </w:rPr>
        <w:t xml:space="preserve"> This isolates dealer-specific funding stress. A positive and widening spread suggests that funding conditions in the interdealer market are tighter than in the broader market captured by SOFR.</w:t>
      </w:r>
      <w:r w:rsidDel="00000000" w:rsidR="00000000" w:rsidRPr="00000000">
        <w:rPr>
          <w:rtl w:val="0"/>
        </w:rPr>
      </w:r>
    </w:p>
    <w:p w:rsidR="00000000" w:rsidDel="00000000" w:rsidP="00000000" w:rsidRDefault="00000000" w:rsidRPr="00000000" w14:paraId="00000096">
      <w:pPr>
        <w:numPr>
          <w:ilvl w:val="0"/>
          <w:numId w:val="2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STIR Futures Implied Rate - OIS Rate:</w:t>
      </w:r>
      <w:r w:rsidDel="00000000" w:rsidR="00000000" w:rsidRPr="00000000">
        <w:rPr>
          <w:rFonts w:ascii="Arial" w:cs="Arial" w:eastAsia="Arial" w:hAnsi="Arial"/>
          <w:i w:val="0"/>
          <w:color w:val="1b1c1d"/>
          <w:sz w:val="24"/>
          <w:szCs w:val="24"/>
          <w:rtl w:val="0"/>
        </w:rPr>
        <w:t xml:space="preserve"> Short-Term Interest Rate (STIR) futures, such as 3-month SOFR futures, reflect the market's expectation of where SOFR will be at a future date.</w:t>
      </w:r>
      <w:r w:rsidDel="00000000" w:rsidR="00000000" w:rsidRPr="00000000">
        <w:rPr>
          <w:rFonts w:ascii="Arial" w:cs="Arial" w:eastAsia="Arial" w:hAnsi="Arial"/>
          <w:i w:val="0"/>
          <w:color w:val="575b5f"/>
          <w:sz w:val="24"/>
          <w:szCs w:val="24"/>
          <w:vertAlign w:val="superscript"/>
          <w:rtl w:val="0"/>
        </w:rPr>
        <w:t xml:space="preserve">41</w:t>
      </w:r>
      <w:r w:rsidDel="00000000" w:rsidR="00000000" w:rsidRPr="00000000">
        <w:rPr>
          <w:rFonts w:ascii="Arial" w:cs="Arial" w:eastAsia="Arial" w:hAnsi="Arial"/>
          <w:i w:val="0"/>
          <w:color w:val="1b1c1d"/>
          <w:sz w:val="24"/>
          <w:szCs w:val="24"/>
          <w:rtl w:val="0"/>
        </w:rPr>
        <w:t xml:space="preserve"> The spread between this implied future rate and the current overnight index swap (OIS) rate measures the market's expectation for future policy changes (hikes or cuts) and the associated risk premium. Data is available from exchanges like CME Group.</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Liquidity &amp; Flow Indicators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These indicators track the movement of cash and collateral through the system.</w:t>
      </w:r>
    </w:p>
    <w:p w:rsidR="00000000" w:rsidDel="00000000" w:rsidP="00000000" w:rsidRDefault="00000000" w:rsidRPr="00000000" w14:paraId="0000009C">
      <w:pPr>
        <w:numPr>
          <w:ilvl w:val="0"/>
          <w:numId w:val="2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ON RRP Facility Usage:</w:t>
      </w:r>
      <w:r w:rsidDel="00000000" w:rsidR="00000000" w:rsidRPr="00000000">
        <w:rPr>
          <w:rFonts w:ascii="Arial" w:cs="Arial" w:eastAsia="Arial" w:hAnsi="Arial"/>
          <w:i w:val="0"/>
          <w:color w:val="1b1c1d"/>
          <w:sz w:val="24"/>
          <w:szCs w:val="24"/>
          <w:rtl w:val="0"/>
        </w:rPr>
        <w:t xml:space="preserve"> The daily volume of cash placed in the Fed's overnight reverse repo facility. As established, this is a powerful inverse proxy for dealer balance sheet capacity. Source: NY Fed. FRED: RRPONTSYD.</w:t>
      </w:r>
      <w:r w:rsidDel="00000000" w:rsidR="00000000" w:rsidRPr="00000000">
        <w:rPr>
          <w:rFonts w:ascii="Arial" w:cs="Arial" w:eastAsia="Arial" w:hAnsi="Arial"/>
          <w:i w:val="0"/>
          <w:color w:val="575b5f"/>
          <w:sz w:val="24"/>
          <w:szCs w:val="24"/>
          <w:vertAlign w:val="superscript"/>
          <w:rtl w:val="0"/>
        </w:rPr>
        <w:t xml:space="preserve">14</w:t>
      </w:r>
      <w:r w:rsidDel="00000000" w:rsidR="00000000" w:rsidRPr="00000000">
        <w:rPr>
          <w:rtl w:val="0"/>
        </w:rPr>
      </w:r>
    </w:p>
    <w:p w:rsidR="00000000" w:rsidDel="00000000" w:rsidP="00000000" w:rsidRDefault="00000000" w:rsidRPr="00000000" w14:paraId="0000009D">
      <w:pPr>
        <w:numPr>
          <w:ilvl w:val="0"/>
          <w:numId w:val="2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SRF Facility Usage:</w:t>
      </w:r>
      <w:r w:rsidDel="00000000" w:rsidR="00000000" w:rsidRPr="00000000">
        <w:rPr>
          <w:rFonts w:ascii="Arial" w:cs="Arial" w:eastAsia="Arial" w:hAnsi="Arial"/>
          <w:i w:val="0"/>
          <w:color w:val="1b1c1d"/>
          <w:sz w:val="24"/>
          <w:szCs w:val="24"/>
          <w:rtl w:val="0"/>
        </w:rPr>
        <w:t xml:space="preserve"> The daily volume of borrowing from the Fed's Standing Repo Facility. Usage is typically zero but would be a major red flag of acute funding stress if it became significant. Source: NY Fed.</w:t>
      </w:r>
      <w:r w:rsidDel="00000000" w:rsidR="00000000" w:rsidRPr="00000000">
        <w:rPr>
          <w:rtl w:val="0"/>
        </w:rPr>
      </w:r>
    </w:p>
    <w:p w:rsidR="00000000" w:rsidDel="00000000" w:rsidP="00000000" w:rsidRDefault="00000000" w:rsidRPr="00000000" w14:paraId="0000009E">
      <w:pPr>
        <w:numPr>
          <w:ilvl w:val="0"/>
          <w:numId w:val="2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Treasury General Account (TGA) Balance:</w:t>
      </w:r>
      <w:r w:rsidDel="00000000" w:rsidR="00000000" w:rsidRPr="00000000">
        <w:rPr>
          <w:rFonts w:ascii="Arial" w:cs="Arial" w:eastAsia="Arial" w:hAnsi="Arial"/>
          <w:i w:val="0"/>
          <w:color w:val="1b1c1d"/>
          <w:sz w:val="24"/>
          <w:szCs w:val="24"/>
          <w:rtl w:val="0"/>
        </w:rPr>
        <w:t xml:space="preserve"> The Treasury's cash balance at the Fed. Large increases in the TGA (e.g., around tax dates or heavy bond issuance) drain reserves from the banking system, while large decreases inject reserves. Source: U.S. Treasury. FRED: WTREGEN (weekly), DTSA (daily).</w:t>
      </w:r>
      <w:r w:rsidDel="00000000" w:rsidR="00000000" w:rsidRPr="00000000">
        <w:rPr>
          <w:rtl w:val="0"/>
        </w:rPr>
      </w:r>
    </w:p>
    <w:p w:rsidR="00000000" w:rsidDel="00000000" w:rsidP="00000000" w:rsidRDefault="00000000" w:rsidRPr="00000000" w14:paraId="0000009F">
      <w:pPr>
        <w:numPr>
          <w:ilvl w:val="0"/>
          <w:numId w:val="2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Primary Dealer Net Treasury Positions:</w:t>
      </w:r>
      <w:r w:rsidDel="00000000" w:rsidR="00000000" w:rsidRPr="00000000">
        <w:rPr>
          <w:rFonts w:ascii="Arial" w:cs="Arial" w:eastAsia="Arial" w:hAnsi="Arial"/>
          <w:i w:val="0"/>
          <w:color w:val="1b1c1d"/>
          <w:sz w:val="24"/>
          <w:szCs w:val="24"/>
          <w:rtl w:val="0"/>
        </w:rPr>
        <w:t xml:space="preserve"> This measures the inventory of Treasury securities held by primary dealers that needs to be financed in the repo market. A high level of dealer inventory increases the demand for repo funding and can be a precursor to market stress. Source: NY Fed, Primary Dealer Statistics.</w:t>
      </w:r>
      <w:r w:rsidDel="00000000" w:rsidR="00000000" w:rsidRPr="00000000">
        <w:rPr>
          <w:rFonts w:ascii="Arial" w:cs="Arial" w:eastAsia="Arial" w:hAnsi="Arial"/>
          <w:i w:val="0"/>
          <w:color w:val="575b5f"/>
          <w:sz w:val="24"/>
          <w:szCs w:val="24"/>
          <w:vertAlign w:val="superscript"/>
          <w:rtl w:val="0"/>
        </w:rPr>
        <w:t xml:space="preserve">22</w:t>
      </w: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FRED Ticker /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Rates &amp; Spreads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Effective Federal Funds Rate (EFFR)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EFFR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The realized policy rate; anchor for the financial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Secured Overnight Financing Rate (SOFR)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SOFR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Broadest measure of overnight Treasury repo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OBFR - SOFR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OBFR - SOFR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Key indicator of bank credit risk and unsecured funding stress.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SOFR - ON RRP Rate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SOFR - RRPONTSYAWARD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Measures private market funding pressure relative to the Fed's floor.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Liquidity &amp; 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ON RRP Facility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RRPONTSYD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Measures excess cash and dealer balance sheet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Treasury General Account (TGA)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WTREGEN / DTSA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Weekly/Daily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Major source of fluctuations in banking system reserves.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Primary Dealer Net Treasury Positions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NY Fed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Weekly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Measures dealer inventory that requires repo financing.</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2.2 The Data Bridge: A Methodological Approach</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Having identified the key plumbing indicators, the next step is to build a methodological bridge to connect them to proprietary securities finance data (e.g., security-level lending fees, utilization rates, collateral spreads, recall rates). This requires moving beyond simple observation to quantitative analysis.</w:t>
      </w:r>
    </w:p>
    <w:p w:rsidR="00000000" w:rsidDel="00000000" w:rsidP="00000000" w:rsidRDefault="00000000" w:rsidRPr="00000000" w14:paraId="000000CB">
      <w:pPr>
        <w:numPr>
          <w:ilvl w:val="0"/>
          <w:numId w:val="2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Correlation and Lead-Lag Analysis:</w:t>
      </w:r>
      <w:r w:rsidDel="00000000" w:rsidR="00000000" w:rsidRPr="00000000">
        <w:rPr>
          <w:rFonts w:ascii="Arial" w:cs="Arial" w:eastAsia="Arial" w:hAnsi="Arial"/>
          <w:i w:val="0"/>
          <w:color w:val="1b1c1d"/>
          <w:sz w:val="24"/>
          <w:szCs w:val="24"/>
          <w:rtl w:val="0"/>
        </w:rPr>
        <w:t xml:space="preserve"> A foundational technique is to analyze the dynamic relationship between plumbing indicators and securities finance metrics. For instance, calculating a 30-day rolling correlation between the OBFR-SOFR spread (a measure of systemic stress) and the average lending fee for a basket of high-yield corporate bonds can reveal important connections. A positive correlation would suggest that as systemic risk </w:t>
      </w:r>
      <w:r w:rsidDel="00000000" w:rsidR="00000000" w:rsidRPr="00000000">
        <w:rPr>
          <w:rFonts w:ascii="Arial" w:cs="Arial" w:eastAsia="Arial" w:hAnsi="Arial"/>
          <w:color w:val="1b1c1d"/>
          <w:sz w:val="24"/>
          <w:szCs w:val="24"/>
          <w:rtl w:val="0"/>
        </w:rPr>
        <w:t xml:space="preserve">increases</w:t>
      </w:r>
      <w:r w:rsidDel="00000000" w:rsidR="00000000" w:rsidRPr="00000000">
        <w:rPr>
          <w:rFonts w:ascii="Arial" w:cs="Arial" w:eastAsia="Arial" w:hAnsi="Arial"/>
          <w:i w:val="0"/>
          <w:color w:val="1b1c1d"/>
          <w:sz w:val="24"/>
          <w:szCs w:val="24"/>
          <w:rtl w:val="0"/>
        </w:rPr>
        <w:t xml:space="preserve">, the cost to borrow riskier, less liquid collateral also increases. More importantly, lead-lag analysis can determine if changes in the plumbing indicator </w:t>
      </w:r>
      <w:r w:rsidDel="00000000" w:rsidR="00000000" w:rsidRPr="00000000">
        <w:rPr>
          <w:rFonts w:ascii="Arial" w:cs="Arial" w:eastAsia="Arial" w:hAnsi="Arial"/>
          <w:i w:val="1"/>
          <w:color w:val="1b1c1d"/>
          <w:sz w:val="24"/>
          <w:szCs w:val="24"/>
          <w:rtl w:val="0"/>
        </w:rPr>
        <w:t xml:space="preserve">precede</w:t>
      </w:r>
      <w:r w:rsidDel="00000000" w:rsidR="00000000" w:rsidRPr="00000000">
        <w:rPr>
          <w:rFonts w:ascii="Arial" w:cs="Arial" w:eastAsia="Arial" w:hAnsi="Arial"/>
          <w:i w:val="0"/>
          <w:color w:val="1b1c1d"/>
          <w:sz w:val="24"/>
          <w:szCs w:val="24"/>
          <w:rtl w:val="0"/>
        </w:rPr>
        <w:t xml:space="preserve"> changes in the securities finance metric. If the correlation is highest when the plumbing indicator is lagged by several days, it suggests the plumbing signal has predictive power for securities finance pricing.</w:t>
      </w:r>
      <w:r w:rsidDel="00000000" w:rsidR="00000000" w:rsidRPr="00000000">
        <w:rPr>
          <w:rtl w:val="0"/>
        </w:rPr>
      </w:r>
    </w:p>
    <w:p w:rsidR="00000000" w:rsidDel="00000000" w:rsidP="00000000" w:rsidRDefault="00000000" w:rsidRPr="00000000" w14:paraId="000000CC">
      <w:pPr>
        <w:numPr>
          <w:ilvl w:val="0"/>
          <w:numId w:val="2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Event Study Analysis:</w:t>
      </w:r>
      <w:r w:rsidDel="00000000" w:rsidR="00000000" w:rsidRPr="00000000">
        <w:rPr>
          <w:rFonts w:ascii="Arial" w:cs="Arial" w:eastAsia="Arial" w:hAnsi="Arial"/>
          <w:i w:val="0"/>
          <w:color w:val="1b1c1d"/>
          <w:sz w:val="24"/>
          <w:szCs w:val="24"/>
          <w:rtl w:val="0"/>
        </w:rPr>
        <w:t xml:space="preserve"> This is a rigorous method for quantifying the impact of specific, identifiable events on market variables. The process involves defining an "event" (e.g., the Fed's announcement of a new liquidity facility on March 17, 2020), defining an "event window" (e.g., the five days before and after the announcement), and calculating the "abnormal" change in a securities finance metric during that window. The abnormal change is the actual change minus the expected change, which can be estimated from a pre-event period. This methodology allows for a precise quantification of how specific policy actions or market shocks transmit into the securities lending space, answering questions like: "By how many basis points did the cost to borrow equities increase in the three days following the September 2019 repo spike?"</w:t>
      </w:r>
      <w:r w:rsidDel="00000000" w:rsidR="00000000" w:rsidRPr="00000000">
        <w:rPr>
          <w:rtl w:val="0"/>
        </w:rPr>
      </w:r>
    </w:p>
    <w:p w:rsidR="00000000" w:rsidDel="00000000" w:rsidP="00000000" w:rsidRDefault="00000000" w:rsidRPr="00000000" w14:paraId="000000CD">
      <w:pPr>
        <w:numPr>
          <w:ilvl w:val="0"/>
          <w:numId w:val="2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Regime-Shift Modeling:</w:t>
      </w:r>
      <w:r w:rsidDel="00000000" w:rsidR="00000000" w:rsidRPr="00000000">
        <w:rPr>
          <w:rFonts w:ascii="Arial" w:cs="Arial" w:eastAsia="Arial" w:hAnsi="Arial"/>
          <w:i w:val="0"/>
          <w:color w:val="1b1c1d"/>
          <w:sz w:val="24"/>
          <w:szCs w:val="24"/>
          <w:rtl w:val="0"/>
        </w:rPr>
        <w:t xml:space="preserve"> Financial markets are not static; they transition between distinct states or "regimes" of behavior. A simple linear model may fail to capture these complex dynamics. A regime-shift model, such as a Hidden Markov Model (HMM), can be used to classify the market environment into distinct states based on the behavior of the plumbing indicators. For example, an HMM could be trained on a composite index of plumbing stress to identify three unobservable regimes: 'Calm,' 'Funding Stress,' and 'Collateral Scarcity.' The analysis then involves comparing the statistical properties (mean, volatility, correlations) of the firm's proprietary securities finance data across these identified regimes. This can uncover powerful state-dependent relationships. For example, the analysis might reveal that the correlation between repo rates and equity lending fees is near zero in the 'Calm' regime but strongly positive in the 'Funding Stress' regime. This provides a much more nuanced and actionable understanding of market dynamics than a single, static correlation figure.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2.3 Constructing Composite Signals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Raw data indicators are often noisy and can sometimes provide conflicting signals. To create a more robust and reliable input for risk management or trading models, it is essential to synthesize multiple indicators into composite indices. These indices act as filters, reducing noise and providing a clearer, more holistic picture of the underlying state of the financial system.</w:t>
      </w:r>
    </w:p>
    <w:p w:rsidR="00000000" w:rsidDel="00000000" w:rsidP="00000000" w:rsidRDefault="00000000" w:rsidRPr="00000000" w14:paraId="000000D1">
      <w:pPr>
        <w:numPr>
          <w:ilvl w:val="0"/>
          <w:numId w:val="2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Plumbing Liquidity Index (PLI):</w:t>
      </w:r>
      <w:r w:rsidDel="00000000" w:rsidR="00000000" w:rsidRPr="00000000">
        <w:rPr>
          <w:rFonts w:ascii="Arial" w:cs="Arial" w:eastAsia="Arial" w:hAnsi="Arial"/>
          <w:i w:val="0"/>
          <w:color w:val="1b1c1d"/>
          <w:sz w:val="24"/>
          <w:szCs w:val="24"/>
          <w:rtl w:val="0"/>
        </w:rPr>
        <w:t xml:space="preserve"> This index is designed to provide a single, comprehensive measure of overall funding market stress and liquidity conditions.</w:t>
      </w:r>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1"/>
          <w:color w:val="1b1c1d"/>
          <w:sz w:val="24"/>
          <w:szCs w:val="24"/>
          <w:rtl w:val="0"/>
        </w:rPr>
        <w:t xml:space="preserve">Potential Components:</w:t>
      </w:r>
      <w:r w:rsidDel="00000000" w:rsidR="00000000" w:rsidRPr="00000000">
        <w:rPr>
          <w:rFonts w:ascii="Arial" w:cs="Arial" w:eastAsia="Arial" w:hAnsi="Arial"/>
          <w:i w:val="0"/>
          <w:color w:val="1b1c1d"/>
          <w:sz w:val="24"/>
          <w:szCs w:val="24"/>
          <w:rtl w:val="0"/>
        </w:rPr>
        <w:t xml:space="preserve"> The PLI could be constructed as a weighted average of several normalized indicators: (1) </w:t>
      </w:r>
      <w:r w:rsidDel="00000000" w:rsidR="00000000" w:rsidRPr="00000000">
        <w:rPr>
          <w:rFonts w:ascii="Arial" w:cs="Arial" w:eastAsia="Arial" w:hAnsi="Arial"/>
          <w:b w:val="1"/>
          <w:i w:val="0"/>
          <w:color w:val="1b1c1d"/>
          <w:sz w:val="24"/>
          <w:szCs w:val="24"/>
          <w:rtl w:val="0"/>
        </w:rPr>
        <w:t xml:space="preserve">ON RRP Facility Usage:</w:t>
      </w:r>
      <w:r w:rsidDel="00000000" w:rsidR="00000000" w:rsidRPr="00000000">
        <w:rPr>
          <w:rFonts w:ascii="Arial" w:cs="Arial" w:eastAsia="Arial" w:hAnsi="Arial"/>
          <w:i w:val="0"/>
          <w:color w:val="1b1c1d"/>
          <w:sz w:val="24"/>
          <w:szCs w:val="24"/>
          <w:rtl w:val="0"/>
        </w:rPr>
        <w:t xml:space="preserve"> Normalized by total MMF assets to represent the proportion of MMF cash opting out of private markets. A higher value indicates tighter conditions. (2) </w:t>
      </w:r>
      <w:r w:rsidDel="00000000" w:rsidR="00000000" w:rsidRPr="00000000">
        <w:rPr>
          <w:rFonts w:ascii="Arial" w:cs="Arial" w:eastAsia="Arial" w:hAnsi="Arial"/>
          <w:b w:val="1"/>
          <w:i w:val="0"/>
          <w:color w:val="1b1c1d"/>
          <w:sz w:val="24"/>
          <w:szCs w:val="24"/>
          <w:rtl w:val="0"/>
        </w:rPr>
        <w:t xml:space="preserve">OBFR - SOFR Spread:</w:t>
      </w:r>
      <w:r w:rsidDel="00000000" w:rsidR="00000000" w:rsidRPr="00000000">
        <w:rPr>
          <w:rFonts w:ascii="Arial" w:cs="Arial" w:eastAsia="Arial" w:hAnsi="Arial"/>
          <w:i w:val="0"/>
          <w:color w:val="1b1c1d"/>
          <w:sz w:val="24"/>
          <w:szCs w:val="24"/>
          <w:rtl w:val="0"/>
        </w:rPr>
        <w:t xml:space="preserve"> A direct measure of credit risk. A higher spread indicates tighter conditions. (3) </w:t>
      </w:r>
      <w:r w:rsidDel="00000000" w:rsidR="00000000" w:rsidRPr="00000000">
        <w:rPr>
          <w:rFonts w:ascii="Arial" w:cs="Arial" w:eastAsia="Arial" w:hAnsi="Arial"/>
          <w:b w:val="1"/>
          <w:i w:val="0"/>
          <w:color w:val="1b1c1d"/>
          <w:sz w:val="24"/>
          <w:szCs w:val="24"/>
          <w:rtl w:val="0"/>
        </w:rPr>
        <w:t xml:space="preserve">SOFR Level vs. Corridor:</w:t>
      </w:r>
      <w:r w:rsidDel="00000000" w:rsidR="00000000" w:rsidRPr="00000000">
        <w:rPr>
          <w:rFonts w:ascii="Arial" w:cs="Arial" w:eastAsia="Arial" w:hAnsi="Arial"/>
          <w:i w:val="0"/>
          <w:color w:val="1b1c1d"/>
          <w:sz w:val="24"/>
          <w:szCs w:val="24"/>
          <w:rtl w:val="0"/>
        </w:rPr>
        <w:t xml:space="preserve"> The absolute difference between SOFR and the midpoint of the Fed's target range. A larger difference indicates implementation stress. (4) </w:t>
      </w:r>
      <w:r w:rsidDel="00000000" w:rsidR="00000000" w:rsidRPr="00000000">
        <w:rPr>
          <w:rFonts w:ascii="Arial" w:cs="Arial" w:eastAsia="Arial" w:hAnsi="Arial"/>
          <w:b w:val="1"/>
          <w:i w:val="0"/>
          <w:color w:val="1b1c1d"/>
          <w:sz w:val="24"/>
          <w:szCs w:val="24"/>
          <w:rtl w:val="0"/>
        </w:rPr>
        <w:t xml:space="preserve">Repo Market Volatility:</w:t>
      </w:r>
      <w:r w:rsidDel="00000000" w:rsidR="00000000" w:rsidRPr="00000000">
        <w:rPr>
          <w:rFonts w:ascii="Arial" w:cs="Arial" w:eastAsia="Arial" w:hAnsi="Arial"/>
          <w:i w:val="0"/>
          <w:color w:val="1b1c1d"/>
          <w:sz w:val="24"/>
          <w:szCs w:val="24"/>
          <w:rtl w:val="0"/>
        </w:rPr>
        <w:t xml:space="preserve"> Measured as the daily range between the 99th and 1st percentiles of SOFR transactions. A wider range indicates market fragmentation and stress.</w:t>
      </w:r>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1"/>
          <w:color w:val="1b1c1d"/>
          <w:sz w:val="24"/>
          <w:szCs w:val="24"/>
          <w:rtl w:val="0"/>
        </w:rPr>
        <w:t xml:space="preserve">Interpretation:</w:t>
      </w:r>
      <w:r w:rsidDel="00000000" w:rsidR="00000000" w:rsidRPr="00000000">
        <w:rPr>
          <w:rFonts w:ascii="Arial" w:cs="Arial" w:eastAsia="Arial" w:hAnsi="Arial"/>
          <w:i w:val="0"/>
          <w:color w:val="1b1c1d"/>
          <w:sz w:val="24"/>
          <w:szCs w:val="24"/>
          <w:rtl w:val="0"/>
        </w:rPr>
        <w:t xml:space="preserve"> A rising PLI indicates tightening liquidity, increasing dealer balance sheet constraints, and rising systemic stress. It serves as a broad-based "fever chart" for the funding markets.</w:t>
      </w:r>
      <w:r w:rsidDel="00000000" w:rsidR="00000000" w:rsidRPr="00000000">
        <w:rPr>
          <w:rtl w:val="0"/>
        </w:rPr>
      </w:r>
    </w:p>
    <w:p w:rsidR="00000000" w:rsidDel="00000000" w:rsidP="00000000" w:rsidRDefault="00000000" w:rsidRPr="00000000" w14:paraId="000000D4">
      <w:pPr>
        <w:numPr>
          <w:ilvl w:val="0"/>
          <w:numId w:val="2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Collateral Quality Demand (CQD) Indicator:</w:t>
      </w:r>
      <w:r w:rsidDel="00000000" w:rsidR="00000000" w:rsidRPr="00000000">
        <w:rPr>
          <w:rFonts w:ascii="Arial" w:cs="Arial" w:eastAsia="Arial" w:hAnsi="Arial"/>
          <w:i w:val="0"/>
          <w:color w:val="1b1c1d"/>
          <w:sz w:val="24"/>
          <w:szCs w:val="24"/>
          <w:rtl w:val="0"/>
        </w:rPr>
        <w:t xml:space="preserve"> This index is designed specifically to measure the market's relative demand for the highest-quality collateral (U.S. Treasuries) versus lower-quality or more specific collateral. It is a measure of the market's "flight to quality."</w:t>
      </w:r>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1"/>
          <w:color w:val="1b1c1d"/>
          <w:sz w:val="24"/>
          <w:szCs w:val="24"/>
          <w:rtl w:val="0"/>
        </w:rPr>
        <w:t xml:space="preserve">Potential Components:</w:t>
      </w:r>
      <w:r w:rsidDel="00000000" w:rsidR="00000000" w:rsidRPr="00000000">
        <w:rPr>
          <w:rFonts w:ascii="Arial" w:cs="Arial" w:eastAsia="Arial" w:hAnsi="Arial"/>
          <w:i w:val="0"/>
          <w:color w:val="1b1c1d"/>
          <w:sz w:val="24"/>
          <w:szCs w:val="24"/>
          <w:rtl w:val="0"/>
        </w:rPr>
        <w:t xml:space="preserve"> (1) </w:t>
      </w:r>
      <w:r w:rsidDel="00000000" w:rsidR="00000000" w:rsidRPr="00000000">
        <w:rPr>
          <w:rFonts w:ascii="Arial" w:cs="Arial" w:eastAsia="Arial" w:hAnsi="Arial"/>
          <w:b w:val="1"/>
          <w:i w:val="0"/>
          <w:color w:val="1b1c1d"/>
          <w:sz w:val="24"/>
          <w:szCs w:val="24"/>
          <w:rtl w:val="0"/>
        </w:rPr>
        <w:t xml:space="preserve">Spread between GCF Treasury Repo and GCF Agency MBS Repo:</w:t>
      </w:r>
      <w:r w:rsidDel="00000000" w:rsidR="00000000" w:rsidRPr="00000000">
        <w:rPr>
          <w:rFonts w:ascii="Arial" w:cs="Arial" w:eastAsia="Arial" w:hAnsi="Arial"/>
          <w:i w:val="0"/>
          <w:color w:val="1b1c1d"/>
          <w:sz w:val="24"/>
          <w:szCs w:val="24"/>
          <w:rtl w:val="0"/>
        </w:rPr>
        <w:t xml:space="preserve"> A widening spread shows a preference for Treasuries over even high-quality agency debt. (2) </w:t>
      </w:r>
      <w:r w:rsidDel="00000000" w:rsidR="00000000" w:rsidRPr="00000000">
        <w:rPr>
          <w:rFonts w:ascii="Arial" w:cs="Arial" w:eastAsia="Arial" w:hAnsi="Arial"/>
          <w:b w:val="1"/>
          <w:i w:val="0"/>
          <w:color w:val="1b1c1d"/>
          <w:sz w:val="24"/>
          <w:szCs w:val="24"/>
          <w:rtl w:val="0"/>
        </w:rPr>
        <w:t xml:space="preserve">Spread between GC Repo Rates and a Basket of "Special" Equity Fees:</w:t>
      </w:r>
      <w:r w:rsidDel="00000000" w:rsidR="00000000" w:rsidRPr="00000000">
        <w:rPr>
          <w:rFonts w:ascii="Arial" w:cs="Arial" w:eastAsia="Arial" w:hAnsi="Arial"/>
          <w:i w:val="0"/>
          <w:color w:val="1b1c1d"/>
          <w:sz w:val="24"/>
          <w:szCs w:val="24"/>
          <w:rtl w:val="0"/>
        </w:rPr>
        <w:t xml:space="preserve"> A widening spread indicates that while general funding is available, the demand for specific, hard-to-borrow securities is rising. (3) </w:t>
      </w:r>
      <w:r w:rsidDel="00000000" w:rsidR="00000000" w:rsidRPr="00000000">
        <w:rPr>
          <w:rFonts w:ascii="Arial" w:cs="Arial" w:eastAsia="Arial" w:hAnsi="Arial"/>
          <w:b w:val="1"/>
          <w:i w:val="0"/>
          <w:color w:val="1b1c1d"/>
          <w:sz w:val="24"/>
          <w:szCs w:val="24"/>
          <w:rtl w:val="0"/>
        </w:rPr>
        <w:t xml:space="preserve">Spread between Investment-Grade Corporate Bond Repo Rates and Treasury Repo Rates:</w:t>
      </w:r>
      <w:r w:rsidDel="00000000" w:rsidR="00000000" w:rsidRPr="00000000">
        <w:rPr>
          <w:rFonts w:ascii="Arial" w:cs="Arial" w:eastAsia="Arial" w:hAnsi="Arial"/>
          <w:i w:val="0"/>
          <w:color w:val="1b1c1d"/>
          <w:sz w:val="24"/>
          <w:szCs w:val="24"/>
          <w:rtl w:val="0"/>
        </w:rPr>
        <w:t xml:space="preserve"> This directly measures the premium required to finance corporate debt versus risk-free government debt.</w:t>
      </w:r>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i w:val="1"/>
          <w:color w:val="1b1c1d"/>
          <w:sz w:val="24"/>
          <w:szCs w:val="24"/>
          <w:rtl w:val="0"/>
        </w:rPr>
        <w:t xml:space="preserve">Interpretation:</w:t>
      </w:r>
      <w:r w:rsidDel="00000000" w:rsidR="00000000" w:rsidRPr="00000000">
        <w:rPr>
          <w:rFonts w:ascii="Arial" w:cs="Arial" w:eastAsia="Arial" w:hAnsi="Arial"/>
          <w:i w:val="0"/>
          <w:color w:val="1b1c1d"/>
          <w:sz w:val="24"/>
          <w:szCs w:val="24"/>
          <w:rtl w:val="0"/>
        </w:rPr>
        <w:t xml:space="preserve"> A rising CQD indicates a strong flight to quality, where market participants are increasingly willing to pay a premium for the safety and liquidity of U.S. Treasury collateral. This is a classic signal of rising risk aversion.</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On any given day, the signals from raw indicators can be ambiguous. For instance, the OBFR-SOFR spread might be stable, suggesting low perceived credit risk, while at the same time, the ON RRP facility usage could be surging. This combination of signals points to a nuanced market state: credit risk is not the primary concern, but dealer balance sheets are heavily constrained, limiting their ability to intermediate capital. A simple analysis might miss this. A composite index, however, forces the analyst to explicitly define the relationships and weights between these factors. By combining them, the PLI can capture these complex states. A high PLI driven primarily by the ON RRP component signals a risk of </w:t>
      </w:r>
      <w:r w:rsidDel="00000000" w:rsidR="00000000" w:rsidRPr="00000000">
        <w:rPr>
          <w:rFonts w:ascii="Arial" w:cs="Arial" w:eastAsia="Arial" w:hAnsi="Arial"/>
          <w:i w:val="1"/>
          <w:color w:val="1b1c1d"/>
          <w:sz w:val="24"/>
          <w:szCs w:val="24"/>
          <w:rtl w:val="0"/>
        </w:rPr>
        <w:t xml:space="preserve">balance sheet constraint</w:t>
      </w:r>
      <w:r w:rsidDel="00000000" w:rsidR="00000000" w:rsidRPr="00000000">
        <w:rPr>
          <w:rFonts w:ascii="Arial" w:cs="Arial" w:eastAsia="Arial" w:hAnsi="Arial"/>
          <w:i w:val="0"/>
          <w:color w:val="1b1c1d"/>
          <w:sz w:val="24"/>
          <w:szCs w:val="24"/>
          <w:rtl w:val="0"/>
        </w:rPr>
        <w:t xml:space="preserve">, while a high PLI driven by the OBFR-SOFR component signals a risk of </w:t>
      </w:r>
      <w:r w:rsidDel="00000000" w:rsidR="00000000" w:rsidRPr="00000000">
        <w:rPr>
          <w:rFonts w:ascii="Arial" w:cs="Arial" w:eastAsia="Arial" w:hAnsi="Arial"/>
          <w:i w:val="1"/>
          <w:color w:val="1b1c1d"/>
          <w:sz w:val="24"/>
          <w:szCs w:val="24"/>
          <w:rtl w:val="0"/>
        </w:rPr>
        <w:t xml:space="preserve">credit deterioration</w:t>
      </w:r>
      <w:r w:rsidDel="00000000" w:rsidR="00000000" w:rsidRPr="00000000">
        <w:rPr>
          <w:rFonts w:ascii="Arial" w:cs="Arial" w:eastAsia="Arial" w:hAnsi="Arial"/>
          <w:i w:val="0"/>
          <w:color w:val="1b1c1d"/>
          <w:sz w:val="24"/>
          <w:szCs w:val="24"/>
          <w:rtl w:val="0"/>
        </w:rPr>
        <w:t xml:space="preserve">. This distinction allows for far more sophisticated and targeted risk management and trading decisions. The transformed signal from a well-constructed composite index is significantly more suitable for direct use in a quantitative model than any single, noisy raw indicator.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Section 3: The Framework in Action: Historical Case Studies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section validates the proposed framework by applying its indicators and analytical lens to two recent, significant market stress events. These case studies demonstrate the framework's ability to diagnose the underlying causes of market disruption and show how these plumbing issues transmit directly into the securities finance world.</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3.1 Case Study I: The September 2019 Repo Rate Spike</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The Event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In mid-September 2019, the U.S. money markets experienced a sudden and severe dislocation. On September 17, the Secured Overnight Financing Rate (SOFR), which had been stable around 2.20%, spiked dramatically to 5.25%, with some intraday transactions reportedly occurring at rates as high as 10%.</w:t>
      </w:r>
      <w:r w:rsidDel="00000000" w:rsidR="00000000" w:rsidRPr="00000000">
        <w:rPr>
          <w:rFonts w:ascii="Arial" w:cs="Arial" w:eastAsia="Arial" w:hAnsi="Arial"/>
          <w:i w:val="0"/>
          <w:color w:val="575b5f"/>
          <w:sz w:val="24"/>
          <w:szCs w:val="24"/>
          <w:vertAlign w:val="superscript"/>
          <w:rtl w:val="0"/>
        </w:rPr>
        <w:t xml:space="preserve">43</w:t>
      </w:r>
      <w:r w:rsidDel="00000000" w:rsidR="00000000" w:rsidRPr="00000000">
        <w:rPr>
          <w:rFonts w:ascii="Arial" w:cs="Arial" w:eastAsia="Arial" w:hAnsi="Arial"/>
          <w:i w:val="0"/>
          <w:color w:val="1b1c1d"/>
          <w:sz w:val="24"/>
          <w:szCs w:val="24"/>
          <w:rtl w:val="0"/>
        </w:rPr>
        <w:t xml:space="preserve"> This extreme pressure in the secured repo market quickly spilled over into the unsecured market, pushing the Effective Federal Funds Rate (EFFR) to 2.30%, above the top of the FOMC's target range of 2.25%.</w:t>
      </w:r>
      <w:r w:rsidDel="00000000" w:rsidR="00000000" w:rsidRPr="00000000">
        <w:rPr>
          <w:rFonts w:ascii="Arial" w:cs="Arial" w:eastAsia="Arial" w:hAnsi="Arial"/>
          <w:i w:val="0"/>
          <w:color w:val="575b5f"/>
          <w:sz w:val="24"/>
          <w:szCs w:val="24"/>
          <w:vertAlign w:val="superscript"/>
          <w:rtl w:val="0"/>
        </w:rPr>
        <w:t xml:space="preserve">25</w:t>
      </w:r>
      <w:r w:rsidDel="00000000" w:rsidR="00000000" w:rsidRPr="00000000">
        <w:rPr>
          <w:rFonts w:ascii="Arial" w:cs="Arial" w:eastAsia="Arial" w:hAnsi="Arial"/>
          <w:i w:val="0"/>
          <w:color w:val="1b1c1d"/>
          <w:sz w:val="24"/>
          <w:szCs w:val="24"/>
          <w:rtl w:val="0"/>
        </w:rPr>
        <w:t xml:space="preserve"> The event was unexpected and prompted the FRBNY to intervene with large-scale repo operations for the first time in over a decade to inject liquidity and calm markets.</w:t>
      </w:r>
      <w:r w:rsidDel="00000000" w:rsidR="00000000" w:rsidRPr="00000000">
        <w:rPr>
          <w:rFonts w:ascii="Arial" w:cs="Arial" w:eastAsia="Arial" w:hAnsi="Arial"/>
          <w:i w:val="0"/>
          <w:color w:val="575b5f"/>
          <w:sz w:val="24"/>
          <w:szCs w:val="24"/>
          <w:vertAlign w:val="superscript"/>
          <w:rtl w:val="0"/>
        </w:rPr>
        <w:t xml:space="preserve">44</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The Cause (Through the Framework's Lens)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September 2019 spike was not caused by a single factor but by a confluence of pressures that our framework's indicators are designed to capture. The immediate triggers were two well-anticipated, routine events that occurred on the same day, September 16: a quarterly corporate tax payment deadline and the settlement of a large auction of Treasury securities.</w:t>
      </w:r>
      <w:r w:rsidDel="00000000" w:rsidR="00000000" w:rsidRPr="00000000">
        <w:rPr>
          <w:rFonts w:ascii="Arial" w:cs="Arial" w:eastAsia="Arial" w:hAnsi="Arial"/>
          <w:i w:val="0"/>
          <w:color w:val="575b5f"/>
          <w:sz w:val="24"/>
          <w:szCs w:val="24"/>
          <w:vertAlign w:val="superscript"/>
          <w:rtl w:val="0"/>
        </w:rPr>
        <w:t xml:space="preserve">25</w:t>
      </w:r>
      <w:r w:rsidDel="00000000" w:rsidR="00000000" w:rsidRPr="00000000">
        <w:rPr>
          <w:rFonts w:ascii="Arial" w:cs="Arial" w:eastAsia="Arial" w:hAnsi="Arial"/>
          <w:i w:val="0"/>
          <w:color w:val="1b1c1d"/>
          <w:sz w:val="24"/>
          <w:szCs w:val="24"/>
          <w:rtl w:val="0"/>
        </w:rPr>
        <w:t xml:space="preserve"> Together, these events drained over $120 billion in cash reserves from the banking system in just two days.</w:t>
      </w:r>
      <w:r w:rsidDel="00000000" w:rsidR="00000000" w:rsidRPr="00000000">
        <w:rPr>
          <w:rFonts w:ascii="Arial" w:cs="Arial" w:eastAsia="Arial" w:hAnsi="Arial"/>
          <w:i w:val="0"/>
          <w:color w:val="575b5f"/>
          <w:sz w:val="24"/>
          <w:szCs w:val="24"/>
          <w:vertAlign w:val="superscript"/>
          <w:rtl w:val="0"/>
        </w:rPr>
        <w:t xml:space="preserve">25</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However, these drains occurred against a vulnerable backdrop that had been developing for months. The Fed's balance sheet normalization program had been steadily reducing the overall level of reserves in the system. Simultaneously, heavy Treasury issuance to fund the U.S. budget deficit meant that primary dealers were holding near-record inventories of Treasury securities on their balance sheets.</w:t>
      </w:r>
      <w:r w:rsidDel="00000000" w:rsidR="00000000" w:rsidRPr="00000000">
        <w:rPr>
          <w:rFonts w:ascii="Arial" w:cs="Arial" w:eastAsia="Arial" w:hAnsi="Arial"/>
          <w:i w:val="0"/>
          <w:color w:val="575b5f"/>
          <w:sz w:val="24"/>
          <w:szCs w:val="24"/>
          <w:vertAlign w:val="superscript"/>
          <w:rtl w:val="0"/>
        </w:rPr>
        <w:t xml:space="preserve">25</w:t>
      </w:r>
      <w:r w:rsidDel="00000000" w:rsidR="00000000" w:rsidRPr="00000000">
        <w:rPr>
          <w:rFonts w:ascii="Arial" w:cs="Arial" w:eastAsia="Arial" w:hAnsi="Arial"/>
          <w:i w:val="0"/>
          <w:color w:val="1b1c1d"/>
          <w:sz w:val="24"/>
          <w:szCs w:val="24"/>
          <w:rtl w:val="0"/>
        </w:rPr>
        <w:t xml:space="preserve"> This created a perfect storm: a sharp, temporary increase in the demand for cash (from dealers needing to finance their larger inventories) collided with a sharp, temporary decrease in the supply of cash (due to tax payments draining reserves), all within a system where the buffer stock of excess reserves was already lower than it had been in years.</w:t>
      </w:r>
      <w:r w:rsidDel="00000000" w:rsidR="00000000" w:rsidRPr="00000000">
        <w:rPr>
          <w:rFonts w:ascii="Arial" w:cs="Arial" w:eastAsia="Arial" w:hAnsi="Arial"/>
          <w:i w:val="0"/>
          <w:color w:val="575b5f"/>
          <w:sz w:val="24"/>
          <w:szCs w:val="24"/>
          <w:vertAlign w:val="superscript"/>
          <w:rtl w:val="0"/>
        </w:rPr>
        <w:t xml:space="preserve">25</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Applying the Framework</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An analyst monitoring our proposed dashboards would have seen several warning signs.</w:t>
      </w:r>
    </w:p>
    <w:p w:rsidR="00000000" w:rsidDel="00000000" w:rsidP="00000000" w:rsidRDefault="00000000" w:rsidRPr="00000000" w14:paraId="000000E4">
      <w:pPr>
        <w:numPr>
          <w:ilvl w:val="0"/>
          <w:numId w:val="2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The </w:t>
      </w:r>
      <w:r w:rsidDel="00000000" w:rsidR="00000000" w:rsidRPr="00000000">
        <w:rPr>
          <w:rFonts w:ascii="Arial" w:cs="Arial" w:eastAsia="Arial" w:hAnsi="Arial"/>
          <w:b w:val="1"/>
          <w:i w:val="0"/>
          <w:color w:val="1b1c1d"/>
          <w:sz w:val="24"/>
          <w:szCs w:val="24"/>
          <w:rtl w:val="0"/>
        </w:rPr>
        <w:t xml:space="preserve">Plumbing Liquidity Index (PLI)</w:t>
      </w:r>
      <w:r w:rsidDel="00000000" w:rsidR="00000000" w:rsidRPr="00000000">
        <w:rPr>
          <w:rFonts w:ascii="Arial" w:cs="Arial" w:eastAsia="Arial" w:hAnsi="Arial"/>
          <w:i w:val="0"/>
          <w:color w:val="1b1c1d"/>
          <w:sz w:val="24"/>
          <w:szCs w:val="24"/>
          <w:rtl w:val="0"/>
        </w:rPr>
        <w:t xml:space="preserve"> would have been flashing yellow. Its components would have shown a steady decline in aggregate reserve balances throughout 2019 and a corresponding rise in primary dealer net Treasury positions. This indicated a growing structural imbalance: more collateral needing to be financed by a shrinking pool of cash.</w:t>
      </w:r>
      <w:r w:rsidDel="00000000" w:rsidR="00000000" w:rsidRPr="00000000">
        <w:rPr>
          <w:rtl w:val="0"/>
        </w:rPr>
      </w:r>
    </w:p>
    <w:p w:rsidR="00000000" w:rsidDel="00000000" w:rsidP="00000000" w:rsidRDefault="00000000" w:rsidRPr="00000000" w14:paraId="000000E5">
      <w:pPr>
        <w:numPr>
          <w:ilvl w:val="0"/>
          <w:numId w:val="29"/>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On the day of the event, the dashboard would have lit up red. The </w:t>
      </w:r>
      <w:r w:rsidDel="00000000" w:rsidR="00000000" w:rsidRPr="00000000">
        <w:rPr>
          <w:rFonts w:ascii="Arial" w:cs="Arial" w:eastAsia="Arial" w:hAnsi="Arial"/>
          <w:b w:val="1"/>
          <w:i w:val="0"/>
          <w:color w:val="1b1c1d"/>
          <w:sz w:val="24"/>
          <w:szCs w:val="24"/>
          <w:rtl w:val="0"/>
        </w:rPr>
        <w:t xml:space="preserve">SOFR - IORB spread</w:t>
      </w:r>
      <w:r w:rsidDel="00000000" w:rsidR="00000000" w:rsidRPr="00000000">
        <w:rPr>
          <w:rFonts w:ascii="Arial" w:cs="Arial" w:eastAsia="Arial" w:hAnsi="Arial"/>
          <w:i w:val="0"/>
          <w:color w:val="1b1c1d"/>
          <w:sz w:val="24"/>
          <w:szCs w:val="24"/>
          <w:rtl w:val="0"/>
        </w:rPr>
        <w:t xml:space="preserve"> would have exploded, signaling a complete breakdown of the Fed's policy floor and an acute scarcity of cash. The volatility component of the PLI—the spread between the 99th and 1st percentiles of SOFR—would have widened dramatically, indicating severe market fragmentation where some participants were able to secure funding near the policy rate while others were forced to pay exorbitant rates.</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critical link to securities finance lies in the transmission mechanism through dealer balance sheets. The spike in the cost of general collateral (GC) repo—the primary tool dealers use to fund their operations—immediately and dramatically increased the all-in cost for dealers to finance their entire book of assets. A dealer facing a funding cost of 5% or more for risk-free Treasuries would have no choice but to pass on those higher costs to its clients. This would manifest as:</w:t>
      </w:r>
    </w:p>
    <w:p w:rsidR="00000000" w:rsidDel="00000000" w:rsidP="00000000" w:rsidRDefault="00000000" w:rsidRPr="00000000" w14:paraId="000000E7">
      <w:pPr>
        <w:numPr>
          <w:ilvl w:val="0"/>
          <w:numId w:val="30"/>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Wider Spreads:</w:t>
      </w:r>
      <w:r w:rsidDel="00000000" w:rsidR="00000000" w:rsidRPr="00000000">
        <w:rPr>
          <w:rFonts w:ascii="Arial" w:cs="Arial" w:eastAsia="Arial" w:hAnsi="Arial"/>
          <w:i w:val="0"/>
          <w:color w:val="1b1c1d"/>
          <w:sz w:val="24"/>
          <w:szCs w:val="24"/>
          <w:rtl w:val="0"/>
        </w:rPr>
        <w:t xml:space="preserve"> The bid-ask spread on all financing activities, including securities lending, would widen as dealers sought to protect their margins in a high-cost environment.</w:t>
      </w:r>
      <w:r w:rsidDel="00000000" w:rsidR="00000000" w:rsidRPr="00000000">
        <w:rPr>
          <w:rtl w:val="0"/>
        </w:rPr>
      </w:r>
    </w:p>
    <w:p w:rsidR="00000000" w:rsidDel="00000000" w:rsidP="00000000" w:rsidRDefault="00000000" w:rsidRPr="00000000" w14:paraId="000000E8">
      <w:pPr>
        <w:numPr>
          <w:ilvl w:val="0"/>
          <w:numId w:val="30"/>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Reduced Availability:</w:t>
      </w:r>
      <w:r w:rsidDel="00000000" w:rsidR="00000000" w:rsidRPr="00000000">
        <w:rPr>
          <w:rFonts w:ascii="Arial" w:cs="Arial" w:eastAsia="Arial" w:hAnsi="Arial"/>
          <w:i w:val="0"/>
          <w:color w:val="1b1c1d"/>
          <w:sz w:val="24"/>
          <w:szCs w:val="24"/>
          <w:rtl w:val="0"/>
        </w:rPr>
        <w:t xml:space="preserve"> Dealers, facing constrained and expensive funding, would ration their balance sheets, reducing their willingness to intermediate trades and provide financing, leading to lower availability of securities to borrow.</w:t>
      </w:r>
      <w:r w:rsidDel="00000000" w:rsidR="00000000" w:rsidRPr="00000000">
        <w:rPr>
          <w:rtl w:val="0"/>
        </w:rPr>
      </w:r>
    </w:p>
    <w:p w:rsidR="00000000" w:rsidDel="00000000" w:rsidP="00000000" w:rsidRDefault="00000000" w:rsidRPr="00000000" w14:paraId="000000E9">
      <w:pPr>
        <w:numPr>
          <w:ilvl w:val="0"/>
          <w:numId w:val="30"/>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Higher Fees for Non-HQLA:</w:t>
      </w:r>
      <w:r w:rsidDel="00000000" w:rsidR="00000000" w:rsidRPr="00000000">
        <w:rPr>
          <w:rFonts w:ascii="Arial" w:cs="Arial" w:eastAsia="Arial" w:hAnsi="Arial"/>
          <w:i w:val="0"/>
          <w:color w:val="1b1c1d"/>
          <w:sz w:val="24"/>
          <w:szCs w:val="24"/>
          <w:rtl w:val="0"/>
        </w:rPr>
        <w:t xml:space="preserve"> The cost to borrow any security that was not a pristine, easily-funded Treasury would increase disproportionately, as dealers would demand a much larger premium to finance less liquid assets.</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case study perfectly illustrates how a technical issue in the core plumbing—a temporary but severe cash shortage in the Treasury repo market—is not an isolated event. It directly transmits through dealer balance sheets to impact the price and availability of collateral across the entire securities finance landscape.</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i w:val="0"/>
          <w:color w:val="1b1c1d"/>
          <w:sz w:val="24"/>
          <w:szCs w:val="24"/>
          <w:rtl w:val="0"/>
        </w:rPr>
        <w:t xml:space="preserve">3.2 Case Study II: The March 2020 "Dash for Cash"</w:t>
      </w:r>
      <w:r w:rsidDel="00000000" w:rsidR="00000000" w:rsidRPr="00000000">
        <w:rPr>
          <w:rtl w:val="0"/>
        </w:rPr>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i w:val="0"/>
          <w:color w:val="1b1c1d"/>
          <w:sz w:val="24"/>
          <w:szCs w:val="24"/>
          <w:rtl w:val="0"/>
        </w:rPr>
        <w:t xml:space="preserve">The Event</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market turmoil in March 2020, triggered by the global onset of the COVID-19 pandemic and a concurrent Russia-Saudi Arabia oil price war, was a systemic crisis of a different magnitude and nature than the September 2019 event.</w:t>
      </w:r>
      <w:r w:rsidDel="00000000" w:rsidR="00000000" w:rsidRPr="00000000">
        <w:rPr>
          <w:rFonts w:ascii="Arial" w:cs="Arial" w:eastAsia="Arial" w:hAnsi="Arial"/>
          <w:i w:val="0"/>
          <w:color w:val="575b5f"/>
          <w:sz w:val="24"/>
          <w:szCs w:val="24"/>
          <w:vertAlign w:val="superscript"/>
          <w:rtl w:val="0"/>
        </w:rPr>
        <w:t xml:space="preserve">45</w:t>
      </w:r>
      <w:r w:rsidDel="00000000" w:rsidR="00000000" w:rsidRPr="00000000">
        <w:rPr>
          <w:rFonts w:ascii="Arial" w:cs="Arial" w:eastAsia="Arial" w:hAnsi="Arial"/>
          <w:i w:val="0"/>
          <w:color w:val="1b1c1d"/>
          <w:sz w:val="24"/>
          <w:szCs w:val="24"/>
          <w:rtl w:val="0"/>
        </w:rPr>
        <w:t xml:space="preserve"> This was not a technical glitch in the plumbing but a fundamental, global "dash for dollar cash" driven by extreme uncertainty and a catastrophic collapse in risk appetite.</w:t>
      </w:r>
      <w:r w:rsidDel="00000000" w:rsidR="00000000" w:rsidRPr="00000000">
        <w:rPr>
          <w:rFonts w:ascii="Arial" w:cs="Arial" w:eastAsia="Arial" w:hAnsi="Arial"/>
          <w:i w:val="0"/>
          <w:color w:val="575b5f"/>
          <w:sz w:val="24"/>
          <w:szCs w:val="24"/>
          <w:vertAlign w:val="superscript"/>
          <w:rtl w:val="0"/>
        </w:rPr>
        <w:t xml:space="preserve">47</w:t>
      </w:r>
      <w:r w:rsidDel="00000000" w:rsidR="00000000" w:rsidRPr="00000000">
        <w:rPr>
          <w:rFonts w:ascii="Arial" w:cs="Arial" w:eastAsia="Arial" w:hAnsi="Arial"/>
          <w:i w:val="0"/>
          <w:color w:val="1b1c1d"/>
          <w:sz w:val="24"/>
          <w:szCs w:val="24"/>
          <w:rtl w:val="0"/>
        </w:rPr>
        <w:t xml:space="preserve"> Investors across the globe simultaneously attempted to sell assets—even safe-haven assets like U.S. Treasuries—to raise U.S. dollars, the world's ultimate safe-haven currency. This led to unprecedented volatility, with major stock indices falling over 30% and severe dislocations appearing even in the U.S. Treasury market, the most liquid market in the world.</w:t>
      </w:r>
      <w:r w:rsidDel="00000000" w:rsidR="00000000" w:rsidRPr="00000000">
        <w:rPr>
          <w:rFonts w:ascii="Arial" w:cs="Arial" w:eastAsia="Arial" w:hAnsi="Arial"/>
          <w:i w:val="0"/>
          <w:color w:val="575b5f"/>
          <w:sz w:val="24"/>
          <w:szCs w:val="24"/>
          <w:vertAlign w:val="superscript"/>
          <w:rtl w:val="0"/>
        </w:rPr>
        <w:t xml:space="preserve">46</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The Cause (Through the Framework's Lens)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From the perspective of our framework, the March 2020 crisis was an extreme, simultaneous spike in both the Plumbing Liquidity Index (PLI) and the Collateral Quality Demand (CQD) indicator. It was a crisis of both liquidity </w:t>
      </w:r>
      <w:r w:rsidDel="00000000" w:rsidR="00000000" w:rsidRPr="00000000">
        <w:rPr>
          <w:rFonts w:ascii="Arial" w:cs="Arial" w:eastAsia="Arial" w:hAnsi="Arial"/>
          <w:i w:val="1"/>
          <w:color w:val="1b1c1d"/>
          <w:sz w:val="24"/>
          <w:szCs w:val="24"/>
          <w:rtl w:val="0"/>
        </w:rPr>
        <w:t xml:space="preserve">and</w:t>
      </w:r>
      <w:r w:rsidDel="00000000" w:rsidR="00000000" w:rsidRPr="00000000">
        <w:rPr>
          <w:rFonts w:ascii="Arial" w:cs="Arial" w:eastAsia="Arial" w:hAnsi="Arial"/>
          <w:i w:val="0"/>
          <w:color w:val="1b1c1d"/>
          <w:sz w:val="24"/>
          <w:szCs w:val="24"/>
          <w:rtl w:val="0"/>
        </w:rPr>
        <w:t xml:space="preserve"> confidence.</w:t>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The </w:t>
      </w:r>
      <w:r w:rsidDel="00000000" w:rsidR="00000000" w:rsidRPr="00000000">
        <w:rPr>
          <w:rFonts w:ascii="Arial" w:cs="Arial" w:eastAsia="Arial" w:hAnsi="Arial"/>
          <w:b w:val="1"/>
          <w:i w:val="0"/>
          <w:color w:val="1b1c1d"/>
          <w:sz w:val="24"/>
          <w:szCs w:val="24"/>
          <w:rtl w:val="0"/>
        </w:rPr>
        <w:t xml:space="preserve">PLI</w:t>
      </w:r>
      <w:r w:rsidDel="00000000" w:rsidR="00000000" w:rsidRPr="00000000">
        <w:rPr>
          <w:rFonts w:ascii="Arial" w:cs="Arial" w:eastAsia="Arial" w:hAnsi="Arial"/>
          <w:i w:val="0"/>
          <w:color w:val="1b1c1d"/>
          <w:sz w:val="24"/>
          <w:szCs w:val="24"/>
          <w:rtl w:val="0"/>
        </w:rPr>
        <w:t xml:space="preserve"> would have surged as funding markets seized up. The </w:t>
      </w:r>
      <w:r w:rsidDel="00000000" w:rsidR="00000000" w:rsidRPr="00000000">
        <w:rPr>
          <w:rFonts w:ascii="Arial" w:cs="Arial" w:eastAsia="Arial" w:hAnsi="Arial"/>
          <w:b w:val="1"/>
          <w:i w:val="0"/>
          <w:color w:val="1b1c1d"/>
          <w:sz w:val="24"/>
          <w:szCs w:val="24"/>
          <w:rtl w:val="0"/>
        </w:rPr>
        <w:t xml:space="preserve">OBFR - SOFR spread</w:t>
      </w:r>
      <w:r w:rsidDel="00000000" w:rsidR="00000000" w:rsidRPr="00000000">
        <w:rPr>
          <w:rFonts w:ascii="Arial" w:cs="Arial" w:eastAsia="Arial" w:hAnsi="Arial"/>
          <w:i w:val="0"/>
          <w:color w:val="1b1c1d"/>
          <w:sz w:val="24"/>
          <w:szCs w:val="24"/>
          <w:rtl w:val="0"/>
        </w:rPr>
        <w:t xml:space="preserve"> would have blown out to crisis levels, signaling immense counterparty credit fear. Banks became unwilling to lend to each other unsecured, even overnight.</w:t>
      </w:r>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The </w:t>
      </w:r>
      <w:r w:rsidDel="00000000" w:rsidR="00000000" w:rsidRPr="00000000">
        <w:rPr>
          <w:rFonts w:ascii="Arial" w:cs="Arial" w:eastAsia="Arial" w:hAnsi="Arial"/>
          <w:b w:val="1"/>
          <w:i w:val="0"/>
          <w:color w:val="1b1c1d"/>
          <w:sz w:val="24"/>
          <w:szCs w:val="24"/>
          <w:rtl w:val="0"/>
        </w:rPr>
        <w:t xml:space="preserve">CQD</w:t>
      </w:r>
      <w:r w:rsidDel="00000000" w:rsidR="00000000" w:rsidRPr="00000000">
        <w:rPr>
          <w:rFonts w:ascii="Arial" w:cs="Arial" w:eastAsia="Arial" w:hAnsi="Arial"/>
          <w:i w:val="0"/>
          <w:color w:val="1b1c1d"/>
          <w:sz w:val="24"/>
          <w:szCs w:val="24"/>
          <w:rtl w:val="0"/>
        </w:rPr>
        <w:t xml:space="preserve"> indicator would have also reached unprecedented levels. This was the ultimate "flight to quality." The spread between repo rates for any collateral other than on-the-run Treasuries widened dramatically. The market was desperately seeking the most pristine, liquid collateral and shunning everything else. This was visible in the paradoxical situation where yields on off-the-run Treasuries were rising (prices falling) as investors sold them to get cash, while the demand to borrow on-the-run Treasuries for hedging and safety pushed their repo rates deeply negative.</w: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Applying the Framework</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framework would have captured not only the severity of the crisis but also the scale and impact of the subsequent policy response. The Fed acted with overwhelming force, announcing a slew of emergency measures:</w:t>
      </w:r>
    </w:p>
    <w:p w:rsidR="00000000" w:rsidDel="00000000" w:rsidP="00000000" w:rsidRDefault="00000000" w:rsidRPr="00000000" w14:paraId="000000F7">
      <w:pPr>
        <w:numPr>
          <w:ilvl w:val="0"/>
          <w:numId w:val="23"/>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Unlimited QE:</w:t>
      </w:r>
      <w:r w:rsidDel="00000000" w:rsidR="00000000" w:rsidRPr="00000000">
        <w:rPr>
          <w:rFonts w:ascii="Arial" w:cs="Arial" w:eastAsia="Arial" w:hAnsi="Arial"/>
          <w:i w:val="0"/>
          <w:color w:val="1b1c1d"/>
          <w:sz w:val="24"/>
          <w:szCs w:val="24"/>
          <w:rtl w:val="0"/>
        </w:rPr>
        <w:t xml:space="preserve"> The Fed committed to purchasing assets "in the amounts needed to support smooth market functioning," a dramatic expansion of its balance sheet.</w:t>
      </w:r>
      <w:r w:rsidDel="00000000" w:rsidR="00000000" w:rsidRPr="00000000">
        <w:rPr>
          <w:rtl w:val="0"/>
        </w:rPr>
      </w:r>
    </w:p>
    <w:p w:rsidR="00000000" w:rsidDel="00000000" w:rsidP="00000000" w:rsidRDefault="00000000" w:rsidRPr="00000000" w14:paraId="000000F8">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Expanded Swap Lines:</w:t>
      </w:r>
      <w:r w:rsidDel="00000000" w:rsidR="00000000" w:rsidRPr="00000000">
        <w:rPr>
          <w:rFonts w:ascii="Arial" w:cs="Arial" w:eastAsia="Arial" w:hAnsi="Arial"/>
          <w:i w:val="0"/>
          <w:color w:val="1b1c1d"/>
          <w:sz w:val="24"/>
          <w:szCs w:val="24"/>
          <w:rtl w:val="0"/>
        </w:rPr>
        <w:t xml:space="preserve"> Central bank liquidity swap lines were activated and expanded to provide U.S. dollars to foreign central banks, alleviating the global dollar shortage.</w:t>
      </w:r>
      <w:r w:rsidDel="00000000" w:rsidR="00000000" w:rsidRPr="00000000">
        <w:rPr>
          <w:rFonts w:ascii="Arial" w:cs="Arial" w:eastAsia="Arial" w:hAnsi="Arial"/>
          <w:i w:val="0"/>
          <w:color w:val="575b5f"/>
          <w:sz w:val="24"/>
          <w:szCs w:val="24"/>
          <w:vertAlign w:val="superscript"/>
          <w:rtl w:val="0"/>
        </w:rPr>
        <w:t xml:space="preserve">47</w:t>
      </w:r>
      <w:r w:rsidDel="00000000" w:rsidR="00000000" w:rsidRPr="00000000">
        <w:rPr>
          <w:rtl w:val="0"/>
        </w:rPr>
      </w:r>
    </w:p>
    <w:p w:rsidR="00000000" w:rsidDel="00000000" w:rsidP="00000000" w:rsidRDefault="00000000" w:rsidRPr="00000000" w14:paraId="000000F9">
      <w:pPr>
        <w:numPr>
          <w:ilvl w:val="0"/>
          <w:numId w:val="23"/>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New Emergency Facilities:</w:t>
      </w:r>
      <w:r w:rsidDel="00000000" w:rsidR="00000000" w:rsidRPr="00000000">
        <w:rPr>
          <w:rFonts w:ascii="Arial" w:cs="Arial" w:eastAsia="Arial" w:hAnsi="Arial"/>
          <w:i w:val="0"/>
          <w:color w:val="1b1c1d"/>
          <w:sz w:val="24"/>
          <w:szCs w:val="24"/>
          <w:rtl w:val="0"/>
        </w:rPr>
        <w:t xml:space="preserve"> The Fed created numerous facilities, including the Primary Dealer Credit Facility (PDCF), which provided overnight and term loans to primary dealers against a broad range of collateral, effectively backstopping their balance sheets.</w:t>
      </w:r>
      <w:r w:rsidDel="00000000" w:rsidR="00000000" w:rsidRPr="00000000">
        <w:rPr>
          <w:rFonts w:ascii="Arial" w:cs="Arial" w:eastAsia="Arial" w:hAnsi="Arial"/>
          <w:i w:val="0"/>
          <w:color w:val="575b5f"/>
          <w:sz w:val="24"/>
          <w:szCs w:val="24"/>
          <w:vertAlign w:val="superscript"/>
          <w:rtl w:val="0"/>
        </w:rPr>
        <w:t xml:space="preserve">24</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These actions would have been clearly visible on the monitoring dashboards. The Fed's balance sheet would show a historic, near-vertical expansion. Usage of the new facilities, particularly the PDCF, would have shown dealers taking advantage of the Fed's backstop. As these measures took hold, the stress indicators would have begun to recede: the OBFR-SOFR spread would narrow, and repo market volatility would decline.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For securities finance, the implications were profound and would have been captured by the framework. The extreme spike in the CQD would have corresponded to a bifurcation in the lending market. Fees for borrowing HQLA, particularly on-the-run Treasuries, would have turned deeply negative as their "specialness" value soared. Conversely, the fees for borrowing any security with even a hint of credit risk or illiquidity—from corporate bonds to equities—would have exploded higher as dealers, facing their own existential funding crisis, either refused to finance them or charged punitive rates. This case study demonstrates the framework's ability to measure both the severity of a full-blown systemic crisis and the impact of the subsequent policy intervention, and to directly link these macro dynamics to extreme, bifurcated outcomes in securities finance pricing.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Section 4: Proposed Dashboards for Real-Time Monitoring</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section provides a series of visual templates for constructing real-time monitoring dashboards. These dashboards are designed to synthesize the key data indicators from Section 2 into an intuitive, at-a-glance view of the health of the financial plumbing and its potential impact on securities finance markets.</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color w:val="1b1c1d"/>
          <w:sz w:val="24"/>
          <w:szCs w:val="24"/>
        </w:rPr>
      </w:pPr>
      <w:r w:rsidDel="00000000" w:rsidR="00000000" w:rsidRPr="00000000">
        <w:rPr>
          <w:rFonts w:ascii="Arial" w:cs="Arial" w:eastAsia="Arial" w:hAnsi="Arial"/>
          <w:b w:val="1"/>
          <w:i w:val="0"/>
          <w:color w:val="1b1c1d"/>
          <w:sz w:val="24"/>
          <w:szCs w:val="24"/>
          <w:rtl w:val="0"/>
        </w:rPr>
        <w:t xml:space="preserve">Dashboard 1: Monetary Policy &amp; Funding Conditions</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dashboard provides a high-level overview of the current state of money markets relative to the Federal Reserve's intended policy stance. It is the first port of call for identifying deviations from the norm.</w:t>
      </w:r>
    </w:p>
    <w:p w:rsidR="00000000" w:rsidDel="00000000" w:rsidP="00000000" w:rsidRDefault="00000000" w:rsidRPr="00000000" w14:paraId="00000101">
      <w:pPr>
        <w:numPr>
          <w:ilvl w:val="0"/>
          <w:numId w:val="3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Chart 1: Overnight Rates vs. The Fed's Corridor</w:t>
      </w:r>
      <w:r w:rsidDel="00000000" w:rsidR="00000000" w:rsidRPr="00000000">
        <w:rPr>
          <w:rtl w:val="0"/>
        </w:rPr>
      </w:r>
    </w:p>
    <w:p w:rsidR="00000000" w:rsidDel="00000000" w:rsidP="00000000" w:rsidRDefault="00000000" w:rsidRPr="00000000" w14:paraId="00000102">
      <w:pPr>
        <w:numPr>
          <w:ilvl w:val="1"/>
          <w:numId w:val="32"/>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1"/>
          <w:color w:val="1b1c1d"/>
          <w:sz w:val="24"/>
          <w:szCs w:val="24"/>
          <w:rtl w:val="0"/>
        </w:rPr>
        <w:t xml:space="preserve">Visualization:</w:t>
      </w:r>
      <w:r w:rsidDel="00000000" w:rsidR="00000000" w:rsidRPr="00000000">
        <w:rPr>
          <w:rFonts w:ascii="Arial" w:cs="Arial" w:eastAsia="Arial" w:hAnsi="Arial"/>
          <w:i w:val="0"/>
          <w:color w:val="1b1c1d"/>
          <w:sz w:val="24"/>
          <w:szCs w:val="24"/>
          <w:rtl w:val="0"/>
        </w:rPr>
        <w:t xml:space="preserve"> A line chart plotting four key rates: Effective Federal Funds Rate (EFFR), Secured Overnight Financing Rate (SOFR), and Overnight Bank Funding Rate (OBFR). These are plotted against a shaded area representing the Fed's policy corridor, with the ON RRP Rate as the floor and the Standing Repo Facility (SRF) Rate as the ceiling.</w:t>
      </w:r>
      <w:r w:rsidDel="00000000" w:rsidR="00000000" w:rsidRPr="00000000">
        <w:rPr>
          <w:rtl w:val="0"/>
        </w:rPr>
      </w:r>
    </w:p>
    <w:p w:rsidR="00000000" w:rsidDel="00000000" w:rsidP="00000000" w:rsidRDefault="00000000" w:rsidRPr="00000000" w14:paraId="00000103">
      <w:pPr>
        <w:numPr>
          <w:ilvl w:val="1"/>
          <w:numId w:val="32"/>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1"/>
          <w:color w:val="1b1c1d"/>
          <w:sz w:val="24"/>
          <w:szCs w:val="24"/>
          <w:rtl w:val="0"/>
        </w:rPr>
        <w:t xml:space="preserve">Purpose:</w:t>
      </w:r>
      <w:r w:rsidDel="00000000" w:rsidR="00000000" w:rsidRPr="00000000">
        <w:rPr>
          <w:rFonts w:ascii="Arial" w:cs="Arial" w:eastAsia="Arial" w:hAnsi="Arial"/>
          <w:i w:val="0"/>
          <w:color w:val="1b1c1d"/>
          <w:sz w:val="24"/>
          <w:szCs w:val="24"/>
          <w:rtl w:val="0"/>
        </w:rPr>
        <w:t xml:space="preserve"> To provide an immediate visual assessment of where funding markets are trading relative to the Fed's target. It instantly reveals if rates are well-contained within the corridor, testing the floor (indicating a cash glut), or approaching the ceiling (indicating funding stress).</w:t>
      </w:r>
      <w:r w:rsidDel="00000000" w:rsidR="00000000" w:rsidRPr="00000000">
        <w:rPr>
          <w:rtl w:val="0"/>
        </w:rPr>
      </w:r>
    </w:p>
    <w:p w:rsidR="00000000" w:rsidDel="00000000" w:rsidP="00000000" w:rsidRDefault="00000000" w:rsidRPr="00000000" w14:paraId="00000104">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Chart 2: Key Funding Spreads</w:t>
      </w:r>
      <w:r w:rsidDel="00000000" w:rsidR="00000000" w:rsidRPr="00000000">
        <w:rPr>
          <w:rtl w:val="0"/>
        </w:rPr>
      </w:r>
    </w:p>
    <w:p w:rsidR="00000000" w:rsidDel="00000000" w:rsidP="00000000" w:rsidRDefault="00000000" w:rsidRPr="00000000" w14:paraId="00000105">
      <w:pPr>
        <w:numPr>
          <w:ilvl w:val="1"/>
          <w:numId w:val="33"/>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1"/>
          <w:color w:val="1b1c1d"/>
          <w:sz w:val="24"/>
          <w:szCs w:val="24"/>
          <w:rtl w:val="0"/>
        </w:rPr>
        <w:t xml:space="preserve">Visualization:</w:t>
      </w:r>
      <w:r w:rsidDel="00000000" w:rsidR="00000000" w:rsidRPr="00000000">
        <w:rPr>
          <w:rFonts w:ascii="Arial" w:cs="Arial" w:eastAsia="Arial" w:hAnsi="Arial"/>
          <w:i w:val="0"/>
          <w:color w:val="1b1c1d"/>
          <w:sz w:val="24"/>
          <w:szCs w:val="24"/>
          <w:rtl w:val="0"/>
        </w:rPr>
        <w:t xml:space="preserve"> A combination bar and line chart displaying three critical spreads over time: (1) OBFR - SOFR Spread, (2) SOFR - ON RRP Rate Spread, and (3) GCF Treasury Rate - SOFR Spread.</w:t>
      </w:r>
      <w:r w:rsidDel="00000000" w:rsidR="00000000" w:rsidRPr="00000000">
        <w:rPr>
          <w:rtl w:val="0"/>
        </w:rPr>
      </w:r>
    </w:p>
    <w:p w:rsidR="00000000" w:rsidDel="00000000" w:rsidP="00000000" w:rsidRDefault="00000000" w:rsidRPr="00000000" w14:paraId="00000106">
      <w:pPr>
        <w:numPr>
          <w:ilvl w:val="1"/>
          <w:numId w:val="33"/>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i w:val="1"/>
          <w:color w:val="1b1c1d"/>
          <w:sz w:val="24"/>
          <w:szCs w:val="24"/>
          <w:rtl w:val="0"/>
        </w:rPr>
        <w:t xml:space="preserve">Purpose:</w:t>
      </w:r>
      <w:r w:rsidDel="00000000" w:rsidR="00000000" w:rsidRPr="00000000">
        <w:rPr>
          <w:rFonts w:ascii="Arial" w:cs="Arial" w:eastAsia="Arial" w:hAnsi="Arial"/>
          <w:i w:val="0"/>
          <w:color w:val="1b1c1d"/>
          <w:sz w:val="24"/>
          <w:szCs w:val="24"/>
          <w:rtl w:val="0"/>
        </w:rPr>
        <w:t xml:space="preserve"> To isolate and track specific risk factors. The OBFR-SOFR spread is the primary gauge of interbank credit risk. The SOFR-ON RRP spread measures private market funding pressure. The GCF-SOFR spread highlights stress specific to the core interdealer market. Spikes in these spreads are clear warning signals</w:t>
      </w:r>
      <w:r w:rsidDel="00000000" w:rsidR="00000000" w:rsidRPr="00000000">
        <w:rPr>
          <w:rtl w:val="0"/>
        </w:rPr>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Dashboard 2: Federal Reserve Liquidity &amp; Bank Reserves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dashboard focuses on the supply and demand for the ultimate form of liquidity: central bank reserves. It tracks the major factors that influence the level of reserves in the banking system.</w:t>
      </w:r>
    </w:p>
    <w:p w:rsidR="00000000" w:rsidDel="00000000" w:rsidP="00000000" w:rsidRDefault="00000000" w:rsidRPr="00000000" w14:paraId="00000109">
      <w:pPr>
        <w:numPr>
          <w:ilvl w:val="0"/>
          <w:numId w:val="3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Chart 3: Anatomy of the Fed's Key Liabilities</w:t>
      </w:r>
      <w:r w:rsidDel="00000000" w:rsidR="00000000" w:rsidRPr="00000000">
        <w:rPr>
          <w:rtl w:val="0"/>
        </w:rPr>
      </w:r>
    </w:p>
    <w:p w:rsidR="00000000" w:rsidDel="00000000" w:rsidP="00000000" w:rsidRDefault="00000000" w:rsidRPr="00000000" w14:paraId="0000010A">
      <w:pPr>
        <w:numPr>
          <w:ilvl w:val="1"/>
          <w:numId w:val="35"/>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1"/>
          <w:color w:val="1b1c1d"/>
          <w:sz w:val="24"/>
          <w:szCs w:val="24"/>
          <w:rtl w:val="0"/>
        </w:rPr>
        <w:t xml:space="preserve">Visualization:</w:t>
      </w:r>
      <w:r w:rsidDel="00000000" w:rsidR="00000000" w:rsidRPr="00000000">
        <w:rPr>
          <w:rFonts w:ascii="Arial" w:cs="Arial" w:eastAsia="Arial" w:hAnsi="Arial"/>
          <w:i w:val="0"/>
          <w:color w:val="1b1c1d"/>
          <w:sz w:val="24"/>
          <w:szCs w:val="24"/>
          <w:rtl w:val="0"/>
        </w:rPr>
        <w:t xml:space="preserve"> A stacked area chart showing the evolution of the three most important liabilities on the Fed's balance sheet that affect market liquidity: (1) Reserve Balances held by depository institutions, (2) ON RRP facility usage (cash absorbed from non-banks), and (3) the Treasury General Account (TGA) balance (cash held by the Treasury).</w:t>
      </w:r>
      <w:r w:rsidDel="00000000" w:rsidR="00000000" w:rsidRPr="00000000">
        <w:rPr>
          <w:rtl w:val="0"/>
        </w:rPr>
      </w:r>
    </w:p>
    <w:p w:rsidR="00000000" w:rsidDel="00000000" w:rsidP="00000000" w:rsidRDefault="00000000" w:rsidRPr="00000000" w14:paraId="0000010B">
      <w:pPr>
        <w:numPr>
          <w:ilvl w:val="1"/>
          <w:numId w:val="3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1"/>
          <w:color w:val="1b1c1d"/>
          <w:sz w:val="24"/>
          <w:szCs w:val="24"/>
          <w:rtl w:val="0"/>
        </w:rPr>
        <w:t xml:space="preserve">Purpose:</w:t>
      </w:r>
      <w:r w:rsidDel="00000000" w:rsidR="00000000" w:rsidRPr="00000000">
        <w:rPr>
          <w:rFonts w:ascii="Arial" w:cs="Arial" w:eastAsia="Arial" w:hAnsi="Arial"/>
          <w:i w:val="0"/>
          <w:color w:val="1b1c1d"/>
          <w:sz w:val="24"/>
          <w:szCs w:val="24"/>
          <w:rtl w:val="0"/>
        </w:rPr>
        <w:t xml:space="preserve"> To provide a holistic, dynamic view of the sources and uses of liquidity. It shows how a rise in the TGA or ON RRP usage directly corresponds to a drain on commercial bank reserves, tightening the system's overall liquidity.</w:t>
      </w:r>
      <w:r w:rsidDel="00000000" w:rsidR="00000000" w:rsidRPr="00000000">
        <w:rPr>
          <w:rtl w:val="0"/>
        </w:rPr>
      </w:r>
    </w:p>
    <w:p w:rsidR="00000000" w:rsidDel="00000000" w:rsidP="00000000" w:rsidRDefault="00000000" w:rsidRPr="00000000" w14:paraId="0000010C">
      <w:pPr>
        <w:numPr>
          <w:ilvl w:val="0"/>
          <w:numId w:val="3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Chart 4: MMF Cash Allocation</w:t>
      </w:r>
      <w:r w:rsidDel="00000000" w:rsidR="00000000" w:rsidRPr="00000000">
        <w:rPr>
          <w:rtl w:val="0"/>
        </w:rPr>
      </w:r>
    </w:p>
    <w:p w:rsidR="00000000" w:rsidDel="00000000" w:rsidP="00000000" w:rsidRDefault="00000000" w:rsidRPr="00000000" w14:paraId="0000010D">
      <w:pPr>
        <w:numPr>
          <w:ilvl w:val="1"/>
          <w:numId w:val="36"/>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1"/>
          <w:color w:val="1b1c1d"/>
          <w:sz w:val="24"/>
          <w:szCs w:val="24"/>
          <w:rtl w:val="0"/>
        </w:rPr>
        <w:t xml:space="preserve">Visualization:</w:t>
      </w:r>
      <w:r w:rsidDel="00000000" w:rsidR="00000000" w:rsidRPr="00000000">
        <w:rPr>
          <w:rFonts w:ascii="Arial" w:cs="Arial" w:eastAsia="Arial" w:hAnsi="Arial"/>
          <w:i w:val="0"/>
          <w:color w:val="1b1c1d"/>
          <w:sz w:val="24"/>
          <w:szCs w:val="24"/>
          <w:rtl w:val="0"/>
        </w:rPr>
        <w:t xml:space="preserve"> A dual-axis chart. The left axis and bars show the daily volume of the ON RRP facility. The right axis and a line show the total assets under management (AUM) of government MMFs. A secondary line can show the ratio of ON RRP usage to MMF AUM.</w:t>
      </w:r>
      <w:r w:rsidDel="00000000" w:rsidR="00000000" w:rsidRPr="00000000">
        <w:rPr>
          <w:rtl w:val="0"/>
        </w:rPr>
      </w:r>
    </w:p>
    <w:p w:rsidR="00000000" w:rsidDel="00000000" w:rsidP="00000000" w:rsidRDefault="00000000" w:rsidRPr="00000000" w14:paraId="0000010E">
      <w:pPr>
        <w:numPr>
          <w:ilvl w:val="1"/>
          <w:numId w:val="36"/>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i w:val="1"/>
          <w:color w:val="1b1c1d"/>
          <w:sz w:val="24"/>
          <w:szCs w:val="24"/>
          <w:rtl w:val="0"/>
        </w:rPr>
        <w:t xml:space="preserve">Purpose:</w:t>
      </w:r>
      <w:r w:rsidDel="00000000" w:rsidR="00000000" w:rsidRPr="00000000">
        <w:rPr>
          <w:rFonts w:ascii="Arial" w:cs="Arial" w:eastAsia="Arial" w:hAnsi="Arial"/>
          <w:i w:val="0"/>
          <w:color w:val="1b1c1d"/>
          <w:sz w:val="24"/>
          <w:szCs w:val="24"/>
          <w:rtl w:val="0"/>
        </w:rPr>
        <w:t xml:space="preserve"> To track the allocation decisions of the single largest cash-providing sector. It quantifies the amount and proportion of MMF cash that is being directed to the Fed's facility instead of being intermediated through private repo markets, serving as a direct proxy for dealer balance sheet constraints.</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Dashboard 3: Dealer &amp; Market-Wide Positioning</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dashboard shifts focus to the positioning and expectations of key market participants, particularly the primary dealers who are central to market functioning.</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Chart 5: Primary Dealer Treasury Inventory</w:t>
      </w:r>
      <w:r w:rsidDel="00000000" w:rsidR="00000000" w:rsidRPr="00000000">
        <w:rPr>
          <w:rtl w:val="0"/>
        </w:rPr>
      </w:r>
    </w:p>
    <w:p w:rsidR="00000000" w:rsidDel="00000000" w:rsidP="00000000" w:rsidRDefault="00000000" w:rsidRPr="00000000" w14:paraId="00000114">
      <w:pPr>
        <w:numPr>
          <w:ilvl w:val="1"/>
          <w:numId w:val="3"/>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1"/>
          <w:color w:val="1b1c1d"/>
          <w:sz w:val="24"/>
          <w:szCs w:val="24"/>
          <w:rtl w:val="0"/>
        </w:rPr>
        <w:t xml:space="preserve">Visualization:</w:t>
      </w:r>
      <w:r w:rsidDel="00000000" w:rsidR="00000000" w:rsidRPr="00000000">
        <w:rPr>
          <w:rFonts w:ascii="Arial" w:cs="Arial" w:eastAsia="Arial" w:hAnsi="Arial"/>
          <w:i w:val="0"/>
          <w:color w:val="1b1c1d"/>
          <w:sz w:val="24"/>
          <w:szCs w:val="24"/>
          <w:rtl w:val="0"/>
        </w:rPr>
        <w:t xml:space="preserve"> A line chart displaying the net Treasury positions of primary dealers, based on weekly data from the FRBNY.</w:t>
      </w:r>
      <w:r w:rsidDel="00000000" w:rsidR="00000000" w:rsidRPr="00000000">
        <w:rPr>
          <w:rtl w:val="0"/>
        </w:rPr>
      </w:r>
    </w:p>
    <w:p w:rsidR="00000000" w:rsidDel="00000000" w:rsidP="00000000" w:rsidRDefault="00000000" w:rsidRPr="00000000" w14:paraId="00000115">
      <w:pPr>
        <w:numPr>
          <w:ilvl w:val="1"/>
          <w:numId w:val="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1"/>
          <w:color w:val="1b1c1d"/>
          <w:sz w:val="24"/>
          <w:szCs w:val="24"/>
          <w:rtl w:val="0"/>
        </w:rPr>
        <w:t xml:space="preserve">Purpose:</w:t>
      </w:r>
      <w:r w:rsidDel="00000000" w:rsidR="00000000" w:rsidRPr="00000000">
        <w:rPr>
          <w:rFonts w:ascii="Arial" w:cs="Arial" w:eastAsia="Arial" w:hAnsi="Arial"/>
          <w:i w:val="0"/>
          <w:color w:val="1b1c1d"/>
          <w:sz w:val="24"/>
          <w:szCs w:val="24"/>
          <w:rtl w:val="0"/>
        </w:rPr>
        <w:t xml:space="preserve"> To monitor the inventory on dealer balance sheets that requires financing in the repo market. Persistently high or rapidly increasing inventory levels represent a significant source of future funding demand and can be a leading indicator of potential repo market stress.</w:t>
      </w:r>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Chart 6: Market Expectations for Future Policy</w:t>
      </w:r>
      <w:r w:rsidDel="00000000" w:rsidR="00000000" w:rsidRPr="00000000">
        <w:rPr>
          <w:rtl w:val="0"/>
        </w:rPr>
      </w:r>
    </w:p>
    <w:p w:rsidR="00000000" w:rsidDel="00000000" w:rsidP="00000000" w:rsidRDefault="00000000" w:rsidRPr="00000000" w14:paraId="00000117">
      <w:pPr>
        <w:numPr>
          <w:ilvl w:val="1"/>
          <w:numId w:val="4"/>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1"/>
          <w:color w:val="1b1c1d"/>
          <w:sz w:val="24"/>
          <w:szCs w:val="24"/>
          <w:rtl w:val="0"/>
        </w:rPr>
        <w:t xml:space="preserve">Visualization:</w:t>
      </w:r>
      <w:r w:rsidDel="00000000" w:rsidR="00000000" w:rsidRPr="00000000">
        <w:rPr>
          <w:rFonts w:ascii="Arial" w:cs="Arial" w:eastAsia="Arial" w:hAnsi="Arial"/>
          <w:i w:val="0"/>
          <w:color w:val="1b1c1d"/>
          <w:sz w:val="24"/>
          <w:szCs w:val="24"/>
          <w:rtl w:val="0"/>
        </w:rPr>
        <w:t xml:space="preserve"> A line chart plotting the implied policy rates from a strip of STIR futures (e.g., 3-month SOFR futures) for the next 12-24 months. This can be compared to the current policy rate and the FOMC's own "dot plot" projections.</w:t>
      </w:r>
      <w:r w:rsidDel="00000000" w:rsidR="00000000" w:rsidRPr="00000000">
        <w:rPr>
          <w:rtl w:val="0"/>
        </w:rPr>
      </w:r>
    </w:p>
    <w:p w:rsidR="00000000" w:rsidDel="00000000" w:rsidP="00000000" w:rsidRDefault="00000000" w:rsidRPr="00000000" w14:paraId="00000118">
      <w:pPr>
        <w:numPr>
          <w:ilvl w:val="1"/>
          <w:numId w:val="4"/>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i w:val="1"/>
          <w:color w:val="1b1c1d"/>
          <w:sz w:val="24"/>
          <w:szCs w:val="24"/>
          <w:rtl w:val="0"/>
        </w:rPr>
        <w:t xml:space="preserve">Purpose:</w:t>
      </w:r>
      <w:r w:rsidDel="00000000" w:rsidR="00000000" w:rsidRPr="00000000">
        <w:rPr>
          <w:rFonts w:ascii="Arial" w:cs="Arial" w:eastAsia="Arial" w:hAnsi="Arial"/>
          <w:i w:val="0"/>
          <w:color w:val="1b1c1d"/>
          <w:sz w:val="24"/>
          <w:szCs w:val="24"/>
          <w:rtl w:val="0"/>
        </w:rPr>
        <w:t xml:space="preserve"> To visualize the market's collective forecast for the future path of monetary policy. A futures curve that is significantly more hawkish (implying more hikes) or dovish (implying more cuts) than the Fed's guidance can be a source of volatility and influences current market behavior.</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Dashboard 4: The Synthesis Signal Dashboard</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final dashboard brings everything together, translating the complex underlying data into a single, high-level signal and directly linking it to the user's business outcomes.</w:t>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Chart 7: The Plumbing Liquidity Index (PLI)</w:t>
      </w:r>
      <w:r w:rsidDel="00000000" w:rsidR="00000000" w:rsidRPr="00000000">
        <w:rPr>
          <w:rtl w:val="0"/>
        </w:rPr>
      </w:r>
    </w:p>
    <w:p w:rsidR="00000000" w:rsidDel="00000000" w:rsidP="00000000" w:rsidRDefault="00000000" w:rsidRPr="00000000" w14:paraId="0000011D">
      <w:pPr>
        <w:numPr>
          <w:ilvl w:val="1"/>
          <w:numId w:val="6"/>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1"/>
          <w:color w:val="1b1c1d"/>
          <w:sz w:val="24"/>
          <w:szCs w:val="24"/>
          <w:rtl w:val="0"/>
        </w:rPr>
        <w:t xml:space="preserve">Visualization:</w:t>
      </w:r>
      <w:r w:rsidDel="00000000" w:rsidR="00000000" w:rsidRPr="00000000">
        <w:rPr>
          <w:rFonts w:ascii="Arial" w:cs="Arial" w:eastAsia="Arial" w:hAnsi="Arial"/>
          <w:i w:val="0"/>
          <w:color w:val="1b1c1d"/>
          <w:sz w:val="24"/>
          <w:szCs w:val="24"/>
          <w:rtl w:val="0"/>
        </w:rPr>
        <w:t xml:space="preserve"> A single line chart tracking the custom-built Plumbing Liquidity Index (PLI) over time. The background of the chart can be color-coded based on the index's level or volatility to represent different market "regimes" (e.g., Green for 'Calm,' Yellow for 'Stressed,' Red for 'Crisis').</w:t>
      </w:r>
      <w:r w:rsidDel="00000000" w:rsidR="00000000" w:rsidRPr="00000000">
        <w:rPr>
          <w:rtl w:val="0"/>
        </w:rPr>
      </w:r>
    </w:p>
    <w:p w:rsidR="00000000" w:rsidDel="00000000" w:rsidP="00000000" w:rsidRDefault="00000000" w:rsidRPr="00000000" w14:paraId="0000011E">
      <w:pPr>
        <w:numPr>
          <w:ilvl w:val="1"/>
          <w:numId w:val="6"/>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1"/>
          <w:color w:val="1b1c1d"/>
          <w:sz w:val="24"/>
          <w:szCs w:val="24"/>
          <w:rtl w:val="0"/>
        </w:rPr>
        <w:t xml:space="preserve">Purpose:</w:t>
      </w:r>
      <w:r w:rsidDel="00000000" w:rsidR="00000000" w:rsidRPr="00000000">
        <w:rPr>
          <w:rFonts w:ascii="Arial" w:cs="Arial" w:eastAsia="Arial" w:hAnsi="Arial"/>
          <w:i w:val="0"/>
          <w:color w:val="1b1c1d"/>
          <w:sz w:val="24"/>
          <w:szCs w:val="24"/>
          <w:rtl w:val="0"/>
        </w:rPr>
        <w:t xml:space="preserve"> To provide a single, at-a-glance summary of systemic funding conditions. This synthesizes the information from all previous dashboards into one easy-to-interpret signal, designed for quick assessment by portfolio managers and risk officers.</w:t>
      </w:r>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Chart 8: Plumbing Stress vs. Securities Finance Performance</w:t>
      </w:r>
      <w:r w:rsidDel="00000000" w:rsidR="00000000" w:rsidRPr="00000000">
        <w:rPr>
          <w:rtl w:val="0"/>
        </w:rPr>
      </w:r>
    </w:p>
    <w:p w:rsidR="00000000" w:rsidDel="00000000" w:rsidP="00000000" w:rsidRDefault="00000000" w:rsidRPr="00000000" w14:paraId="00000120">
      <w:pPr>
        <w:numPr>
          <w:ilvl w:val="1"/>
          <w:numId w:val="7"/>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1"/>
          <w:color w:val="1b1c1d"/>
          <w:sz w:val="24"/>
          <w:szCs w:val="24"/>
          <w:rtl w:val="0"/>
        </w:rPr>
        <w:t xml:space="preserve">Visualization:</w:t>
      </w:r>
      <w:r w:rsidDel="00000000" w:rsidR="00000000" w:rsidRPr="00000000">
        <w:rPr>
          <w:rFonts w:ascii="Arial" w:cs="Arial" w:eastAsia="Arial" w:hAnsi="Arial"/>
          <w:i w:val="0"/>
          <w:color w:val="1b1c1d"/>
          <w:sz w:val="24"/>
          <w:szCs w:val="24"/>
          <w:rtl w:val="0"/>
        </w:rPr>
        <w:t xml:space="preserve"> A dual-axis line chart. The left axis plots the Plumbing Liquidity Index (PLI). The right axis plots a key user-defined securities finance metric, such as a custom index of equity "special" fees, average lending revenue for a specific collateral class, or the utilization rate of a key portfolio.</w:t>
      </w:r>
      <w:r w:rsidDel="00000000" w:rsidR="00000000" w:rsidRPr="00000000">
        <w:rPr>
          <w:rtl w:val="0"/>
        </w:rPr>
      </w:r>
    </w:p>
    <w:p w:rsidR="00000000" w:rsidDel="00000000" w:rsidP="00000000" w:rsidRDefault="00000000" w:rsidRPr="00000000" w14:paraId="00000121">
      <w:pPr>
        <w:numPr>
          <w:ilvl w:val="1"/>
          <w:numId w:val="7"/>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i w:val="1"/>
          <w:color w:val="1b1c1d"/>
          <w:sz w:val="24"/>
          <w:szCs w:val="24"/>
          <w:rtl w:val="0"/>
        </w:rPr>
        <w:t xml:space="preserve">Purpose:</w:t>
      </w:r>
      <w:r w:rsidDel="00000000" w:rsidR="00000000" w:rsidRPr="00000000">
        <w:rPr>
          <w:rFonts w:ascii="Arial" w:cs="Arial" w:eastAsia="Arial" w:hAnsi="Arial"/>
          <w:i w:val="0"/>
          <w:color w:val="1b1c1d"/>
          <w:sz w:val="24"/>
          <w:szCs w:val="24"/>
          <w:rtl w:val="0"/>
        </w:rPr>
        <w:t xml:space="preserve"> This is the ultimate goal of the framework: to visually and quantitatively demonstrate the relationship between macro-plumbing stress and the user's specific business activities. This chart can reveal critical lead-lag relationships, showing how spikes in the PLI precede changes in securities finance metrics, thereby highlighting the framework's potential as a source of predictive, actionable signals.</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color w:val="1b1c1d"/>
          <w:sz w:val="30"/>
          <w:szCs w:val="30"/>
        </w:rPr>
      </w:pPr>
      <w:r w:rsidDel="00000000" w:rsidR="00000000" w:rsidRPr="00000000">
        <w:rPr>
          <w:rFonts w:ascii="Arial" w:cs="Arial" w:eastAsia="Arial" w:hAnsi="Arial"/>
          <w:b w:val="1"/>
          <w:i w:val="0"/>
          <w:color w:val="1b1c1d"/>
          <w:sz w:val="30"/>
          <w:szCs w:val="30"/>
          <w:rtl w:val="0"/>
        </w:rPr>
        <w:t xml:space="preserve">Conclusion &amp; Implementation Roadmap</w:t>
      </w:r>
      <w:r w:rsidDel="00000000" w:rsidR="00000000" w:rsidRPr="00000000">
        <w:rPr>
          <w:rtl w:val="0"/>
        </w:rPr>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Summary of Thesis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central thesis of this report is that the "plumbing" of the financial system is not a passive utility but an active and potent source of macroeconomic signals. The intricate network of money markets, intermediary balance sheets, and central bank facilities that constitute this plumbing serves as the primary transmission mechanism for monetary policy and systemic risk. By moving beyond a superficial view of interest rates and embracing a deeper, more mechanistic understanding of these markets, sophisticated financial firms can uncover quantifiable, leading indicators for risk and opportunity in their securities finance operations.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analysis has demonstrated that stress is transmitted from the core funding markets—primarily the U.S. Treasury repo market—through the balance sheets of primary dealers directly to the pricing and availability of all forms of collateral. A constraint in one part of the system, whether driven by regulatory friction, a temporary liquidity shortage, or a systemic crisis, creates ripples that affect the entire collateral landscape. The framework presented provides a structured, data-driven approach to monitoring these dynamics, constructing robust signals, and ultimately connecting the esoteric world of monetary plumbing to the practical realities of securities finance.</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Actionable Implementation Plan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operationalize this framework, a phased approach is recommended, focusing on data acquisition, system development, and model validation.</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Data Sourcing</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first step is to establish data ingestion pipelines for all core indicators. These can be categorized into public and commercial sources:</w:t>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Public / Free Sources:</w:t>
      </w:r>
      <w:r w:rsidDel="00000000" w:rsidR="00000000" w:rsidRPr="00000000">
        <w:rPr>
          <w:rFonts w:ascii="Arial" w:cs="Arial" w:eastAsia="Arial" w:hAnsi="Arial"/>
          <w:i w:val="0"/>
          <w:color w:val="1b1c1d"/>
          <w:sz w:val="24"/>
          <w:szCs w:val="24"/>
          <w:rtl w:val="0"/>
        </w:rPr>
        <w:t xml:space="preserve"> A significant portion of the required data is available at no cost from official sources. The primary resource is the </w:t>
      </w:r>
      <w:r w:rsidDel="00000000" w:rsidR="00000000" w:rsidRPr="00000000">
        <w:rPr>
          <w:rFonts w:ascii="Arial" w:cs="Arial" w:eastAsia="Arial" w:hAnsi="Arial"/>
          <w:b w:val="1"/>
          <w:i w:val="0"/>
          <w:color w:val="1b1c1d"/>
          <w:sz w:val="24"/>
          <w:szCs w:val="24"/>
          <w:rtl w:val="0"/>
        </w:rPr>
        <w:t xml:space="preserve">Federal Reserve Economic Data (FRED)</w:t>
      </w:r>
      <w:r w:rsidDel="00000000" w:rsidR="00000000" w:rsidRPr="00000000">
        <w:rPr>
          <w:rFonts w:ascii="Arial" w:cs="Arial" w:eastAsia="Arial" w:hAnsi="Arial"/>
          <w:i w:val="0"/>
          <w:color w:val="1b1c1d"/>
          <w:sz w:val="24"/>
          <w:szCs w:val="24"/>
          <w:rtl w:val="0"/>
        </w:rPr>
        <w:t xml:space="preserve"> platform, maintained by the St. Louis Fed, which provides a comprehensive, API-accessible database of key rates and indicators.</w:t>
      </w:r>
      <w:r w:rsidDel="00000000" w:rsidR="00000000" w:rsidRPr="00000000">
        <w:rPr>
          <w:rFonts w:ascii="Arial" w:cs="Arial" w:eastAsia="Arial" w:hAnsi="Arial"/>
          <w:i w:val="0"/>
          <w:color w:val="575b5f"/>
          <w:sz w:val="24"/>
          <w:szCs w:val="24"/>
          <w:vertAlign w:val="superscript"/>
          <w:rtl w:val="0"/>
        </w:rPr>
        <w:t xml:space="preserve">48</w:t>
      </w:r>
      <w:r w:rsidDel="00000000" w:rsidR="00000000" w:rsidRPr="00000000">
        <w:rPr>
          <w:rFonts w:ascii="Arial" w:cs="Arial" w:eastAsia="Arial" w:hAnsi="Arial"/>
          <w:i w:val="0"/>
          <w:color w:val="1b1c1d"/>
          <w:sz w:val="24"/>
          <w:szCs w:val="24"/>
          <w:rtl w:val="0"/>
        </w:rPr>
        <w:t xml:space="preserve"> This includes series for EFFR, SOFR, OBFR, ON RRP usage and rates, and TGA balances.</w:t>
      </w:r>
      <w:r w:rsidDel="00000000" w:rsidR="00000000" w:rsidRPr="00000000">
        <w:rPr>
          <w:rFonts w:ascii="Arial" w:cs="Arial" w:eastAsia="Arial" w:hAnsi="Arial"/>
          <w:i w:val="0"/>
          <w:color w:val="575b5f"/>
          <w:sz w:val="24"/>
          <w:szCs w:val="24"/>
          <w:vertAlign w:val="superscript"/>
          <w:rtl w:val="0"/>
        </w:rPr>
        <w:t xml:space="preserve">14</w:t>
      </w:r>
      <w:r w:rsidDel="00000000" w:rsidR="00000000" w:rsidRPr="00000000">
        <w:rPr>
          <w:rFonts w:ascii="Arial" w:cs="Arial" w:eastAsia="Arial" w:hAnsi="Arial"/>
          <w:i w:val="0"/>
          <w:color w:val="1b1c1d"/>
          <w:sz w:val="24"/>
          <w:szCs w:val="24"/>
          <w:rtl w:val="0"/>
        </w:rPr>
        <w:t xml:space="preserve">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i w:val="0"/>
          <w:color w:val="1b1c1d"/>
          <w:sz w:val="24"/>
          <w:szCs w:val="24"/>
          <w:rtl w:val="0"/>
        </w:rPr>
        <w:t xml:space="preserve">New York Fed's Data Hub</w:t>
      </w:r>
      <w:r w:rsidDel="00000000" w:rsidR="00000000" w:rsidRPr="00000000">
        <w:rPr>
          <w:rFonts w:ascii="Arial" w:cs="Arial" w:eastAsia="Arial" w:hAnsi="Arial"/>
          <w:i w:val="0"/>
          <w:color w:val="1b1c1d"/>
          <w:sz w:val="24"/>
          <w:szCs w:val="24"/>
          <w:rtl w:val="0"/>
        </w:rPr>
        <w:t xml:space="preserve"> is the direct source for its reference rates and operational data, including detailed primary dealer statistics.</w:t>
      </w:r>
      <w:r w:rsidDel="00000000" w:rsidR="00000000" w:rsidRPr="00000000">
        <w:rPr>
          <w:rFonts w:ascii="Arial" w:cs="Arial" w:eastAsia="Arial" w:hAnsi="Arial"/>
          <w:i w:val="0"/>
          <w:color w:val="575b5f"/>
          <w:sz w:val="24"/>
          <w:szCs w:val="24"/>
          <w:vertAlign w:val="superscript"/>
          <w:rtl w:val="0"/>
        </w:rPr>
        <w:t xml:space="preserve">11</w:t>
      </w:r>
      <w:r w:rsidDel="00000000" w:rsidR="00000000" w:rsidRPr="00000000">
        <w:rPr>
          <w:rFonts w:ascii="Arial" w:cs="Arial" w:eastAsia="Arial" w:hAnsi="Arial"/>
          <w:i w:val="0"/>
          <w:color w:val="1b1c1d"/>
          <w:sz w:val="24"/>
          <w:szCs w:val="24"/>
          <w:rtl w:val="0"/>
        </w:rPr>
        <w:t xml:space="preserve">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i w:val="0"/>
          <w:color w:val="1b1c1d"/>
          <w:sz w:val="24"/>
          <w:szCs w:val="24"/>
          <w:rtl w:val="0"/>
        </w:rPr>
        <w:t xml:space="preserve">DTCC</w:t>
      </w:r>
      <w:r w:rsidDel="00000000" w:rsidR="00000000" w:rsidRPr="00000000">
        <w:rPr>
          <w:rFonts w:ascii="Arial" w:cs="Arial" w:eastAsia="Arial" w:hAnsi="Arial"/>
          <w:i w:val="0"/>
          <w:color w:val="1b1c1d"/>
          <w:sz w:val="24"/>
          <w:szCs w:val="24"/>
          <w:rtl w:val="0"/>
        </w:rPr>
        <w:t xml:space="preserve"> also provides a public, though less detailed, view of its GCF Repo Index.</w:t>
      </w:r>
      <w:r w:rsidDel="00000000" w:rsidR="00000000" w:rsidRPr="00000000">
        <w:rPr>
          <w:rFonts w:ascii="Arial" w:cs="Arial" w:eastAsia="Arial" w:hAnsi="Arial"/>
          <w:i w:val="0"/>
          <w:color w:val="575b5f"/>
          <w:sz w:val="24"/>
          <w:szCs w:val="24"/>
          <w:vertAlign w:val="superscript"/>
          <w:rtl w:val="0"/>
        </w:rPr>
        <w:t xml:space="preserve">17</w:t>
      </w:r>
      <w:r w:rsidDel="00000000" w:rsidR="00000000" w:rsidRPr="00000000">
        <w:rPr>
          <w:rtl w:val="0"/>
        </w:rPr>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Commercial / Subscription Sources:</w:t>
      </w:r>
      <w:r w:rsidDel="00000000" w:rsidR="00000000" w:rsidRPr="00000000">
        <w:rPr>
          <w:rFonts w:ascii="Arial" w:cs="Arial" w:eastAsia="Arial" w:hAnsi="Arial"/>
          <w:i w:val="0"/>
          <w:color w:val="1b1c1d"/>
          <w:sz w:val="24"/>
          <w:szCs w:val="24"/>
          <w:rtl w:val="0"/>
        </w:rPr>
        <w:t xml:space="preserve"> To achieve a more granular and comprehensive view, subscription-based data feeds are necessary.</w:t>
      </w:r>
      <w:r w:rsidDel="00000000" w:rsidR="00000000" w:rsidRPr="00000000">
        <w:rPr>
          <w:rtl w:val="0"/>
        </w:rPr>
      </w:r>
    </w:p>
    <w:p w:rsidR="00000000" w:rsidDel="00000000" w:rsidP="00000000" w:rsidRDefault="00000000" w:rsidRPr="00000000" w14:paraId="0000012D">
      <w:pPr>
        <w:numPr>
          <w:ilvl w:val="1"/>
          <w:numId w:val="9"/>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Repo Market Data:</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b w:val="1"/>
          <w:i w:val="0"/>
          <w:color w:val="1b1c1d"/>
          <w:sz w:val="24"/>
          <w:szCs w:val="24"/>
          <w:rtl w:val="0"/>
        </w:rPr>
        <w:t xml:space="preserve">SIFMA</w:t>
      </w:r>
      <w:r w:rsidDel="00000000" w:rsidR="00000000" w:rsidRPr="00000000">
        <w:rPr>
          <w:rFonts w:ascii="Arial" w:cs="Arial" w:eastAsia="Arial" w:hAnsi="Arial"/>
          <w:i w:val="0"/>
          <w:color w:val="1b1c1d"/>
          <w:sz w:val="24"/>
          <w:szCs w:val="24"/>
          <w:rtl w:val="0"/>
        </w:rPr>
        <w:t xml:space="preserve"> provides more detailed repo statistics based on primary dealer financing.</w:t>
      </w:r>
      <w:r w:rsidDel="00000000" w:rsidR="00000000" w:rsidRPr="00000000">
        <w:rPr>
          <w:rFonts w:ascii="Arial" w:cs="Arial" w:eastAsia="Arial" w:hAnsi="Arial"/>
          <w:i w:val="0"/>
          <w:color w:val="575b5f"/>
          <w:sz w:val="24"/>
          <w:szCs w:val="24"/>
          <w:vertAlign w:val="superscript"/>
          <w:rtl w:val="0"/>
        </w:rPr>
        <w:t xml:space="preserve">39</w:t>
      </w:r>
      <w:r w:rsidDel="00000000" w:rsidR="00000000" w:rsidRPr="00000000">
        <w:rPr>
          <w:rFonts w:ascii="Arial" w:cs="Arial" w:eastAsia="Arial" w:hAnsi="Arial"/>
          <w:i w:val="0"/>
          <w:color w:val="1b1c1d"/>
          <w:sz w:val="24"/>
          <w:szCs w:val="24"/>
          <w:rtl w:val="0"/>
        </w:rPr>
        <w:t xml:space="preserve"> For the highest level of granularity,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i w:val="0"/>
          <w:color w:val="1b1c1d"/>
          <w:sz w:val="24"/>
          <w:szCs w:val="24"/>
          <w:rtl w:val="0"/>
        </w:rPr>
        <w:t xml:space="preserve">DTCC's Treasury Kinetics</w:t>
      </w:r>
      <w:r w:rsidDel="00000000" w:rsidR="00000000" w:rsidRPr="00000000">
        <w:rPr>
          <w:rFonts w:ascii="Arial" w:cs="Arial" w:eastAsia="Arial" w:hAnsi="Arial"/>
          <w:i w:val="0"/>
          <w:color w:val="1b1c1d"/>
          <w:sz w:val="24"/>
          <w:szCs w:val="24"/>
          <w:rtl w:val="0"/>
        </w:rPr>
        <w:t xml:space="preserve"> service offers anonymized data on the DVP repo market </w:t>
      </w:r>
      <w:r w:rsidDel="00000000" w:rsidR="00000000" w:rsidRPr="00000000">
        <w:rPr>
          <w:rFonts w:ascii="Arial" w:cs="Arial" w:eastAsia="Arial" w:hAnsi="Arial"/>
          <w:i w:val="0"/>
          <w:color w:val="575b5f"/>
          <w:sz w:val="24"/>
          <w:szCs w:val="24"/>
          <w:vertAlign w:val="superscript"/>
          <w:rtl w:val="0"/>
        </w:rPr>
        <w:t xml:space="preserve">51</w:t>
      </w:r>
      <w:r w:rsidDel="00000000" w:rsidR="00000000" w:rsidRPr="00000000">
        <w:rPr>
          <w:rFonts w:ascii="Arial" w:cs="Arial" w:eastAsia="Arial" w:hAnsi="Arial"/>
          <w:i w:val="0"/>
          <w:color w:val="1b1c1d"/>
          <w:sz w:val="24"/>
          <w:szCs w:val="24"/>
          <w:rtl w:val="0"/>
        </w:rPr>
        <w:t xml:space="preserve">, while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i w:val="0"/>
          <w:color w:val="1b1c1d"/>
          <w:sz w:val="24"/>
          <w:szCs w:val="24"/>
          <w:rtl w:val="0"/>
        </w:rPr>
        <w:t xml:space="preserve">S&amp;P Global's Securities Finance</w:t>
      </w:r>
      <w:r w:rsidDel="00000000" w:rsidR="00000000" w:rsidRPr="00000000">
        <w:rPr>
          <w:rFonts w:ascii="Arial" w:cs="Arial" w:eastAsia="Arial" w:hAnsi="Arial"/>
          <w:i w:val="0"/>
          <w:color w:val="1b1c1d"/>
          <w:sz w:val="24"/>
          <w:szCs w:val="24"/>
          <w:rtl w:val="0"/>
        </w:rPr>
        <w:t xml:space="preserve"> platform provides analytics on a large swath of the global repo market.</w:t>
      </w:r>
      <w:r w:rsidDel="00000000" w:rsidR="00000000" w:rsidRPr="00000000">
        <w:rPr>
          <w:rFonts w:ascii="Arial" w:cs="Arial" w:eastAsia="Arial" w:hAnsi="Arial"/>
          <w:i w:val="0"/>
          <w:color w:val="575b5f"/>
          <w:sz w:val="24"/>
          <w:szCs w:val="24"/>
          <w:vertAlign w:val="superscript"/>
          <w:rtl w:val="0"/>
        </w:rPr>
        <w:t xml:space="preserve">52</w:t>
      </w:r>
      <w:r w:rsidDel="00000000" w:rsidR="00000000" w:rsidRPr="00000000">
        <w:rPr>
          <w:rtl w:val="0"/>
        </w:rPr>
      </w:r>
    </w:p>
    <w:p w:rsidR="00000000" w:rsidDel="00000000" w:rsidP="00000000" w:rsidRDefault="00000000" w:rsidRPr="00000000" w14:paraId="0000012E">
      <w:pPr>
        <w:numPr>
          <w:ilvl w:val="1"/>
          <w:numId w:val="9"/>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Securities Lending Data:</w:t>
      </w:r>
      <w:r w:rsidDel="00000000" w:rsidR="00000000" w:rsidRPr="00000000">
        <w:rPr>
          <w:rFonts w:ascii="Arial" w:cs="Arial" w:eastAsia="Arial" w:hAnsi="Arial"/>
          <w:i w:val="0"/>
          <w:color w:val="1b1c1d"/>
          <w:sz w:val="24"/>
          <w:szCs w:val="24"/>
          <w:rtl w:val="0"/>
        </w:rPr>
        <w:t xml:space="preserve"> Comprehensive, security-level data on lending fees, availability, and utilization is the domain of specialized vendors. Leading providers include </w:t>
      </w:r>
      <w:r w:rsidDel="00000000" w:rsidR="00000000" w:rsidRPr="00000000">
        <w:rPr>
          <w:rFonts w:ascii="Arial" w:cs="Arial" w:eastAsia="Arial" w:hAnsi="Arial"/>
          <w:b w:val="1"/>
          <w:i w:val="0"/>
          <w:color w:val="1b1c1d"/>
          <w:sz w:val="24"/>
          <w:szCs w:val="24"/>
          <w:rtl w:val="0"/>
        </w:rPr>
        <w:t xml:space="preserve">FIS Astec Analytics</w:t>
      </w:r>
      <w:r w:rsidDel="00000000" w:rsidR="00000000" w:rsidRPr="00000000">
        <w:rPr>
          <w:rFonts w:ascii="Arial" w:cs="Arial" w:eastAsia="Arial" w:hAnsi="Arial"/>
          <w:i w:val="0"/>
          <w:color w:val="1b1c1d"/>
          <w:sz w:val="24"/>
          <w:szCs w:val="24"/>
          <w:rtl w:val="0"/>
        </w:rPr>
        <w:t xml:space="preserve"> (available via Nasdaq Data Link), </w:t>
      </w:r>
      <w:r w:rsidDel="00000000" w:rsidR="00000000" w:rsidRPr="00000000">
        <w:rPr>
          <w:rFonts w:ascii="Arial" w:cs="Arial" w:eastAsia="Arial" w:hAnsi="Arial"/>
          <w:b w:val="1"/>
          <w:i w:val="0"/>
          <w:color w:val="1b1c1d"/>
          <w:sz w:val="24"/>
          <w:szCs w:val="24"/>
          <w:rtl w:val="0"/>
        </w:rPr>
        <w:t xml:space="preserve">S&amp;P Global (formerly IHS Markit)</w:t>
      </w:r>
      <w:r w:rsidDel="00000000" w:rsidR="00000000" w:rsidRPr="00000000">
        <w:rPr>
          <w:rFonts w:ascii="Arial" w:cs="Arial" w:eastAsia="Arial" w:hAnsi="Arial"/>
          <w:i w:val="0"/>
          <w:color w:val="1b1c1d"/>
          <w:sz w:val="24"/>
          <w:szCs w:val="24"/>
          <w:rtl w:val="0"/>
        </w:rPr>
        <w:t xml:space="preserve">, and </w:t>
      </w:r>
      <w:r w:rsidDel="00000000" w:rsidR="00000000" w:rsidRPr="00000000">
        <w:rPr>
          <w:rFonts w:ascii="Arial" w:cs="Arial" w:eastAsia="Arial" w:hAnsi="Arial"/>
          <w:b w:val="1"/>
          <w:i w:val="0"/>
          <w:color w:val="1b1c1d"/>
          <w:sz w:val="24"/>
          <w:szCs w:val="24"/>
          <w:rtl w:val="0"/>
        </w:rPr>
        <w:t xml:space="preserve">DataLend</w:t>
      </w:r>
      <w:r w:rsidDel="00000000" w:rsidR="00000000" w:rsidRPr="00000000">
        <w:rPr>
          <w:rFonts w:ascii="Arial" w:cs="Arial" w:eastAsia="Arial" w:hAnsi="Arial"/>
          <w:i w:val="0"/>
          <w:color w:val="1b1c1d"/>
          <w:sz w:val="24"/>
          <w:szCs w:val="24"/>
          <w:rtl w:val="0"/>
        </w:rPr>
        <w:t xml:space="preserve">.</w:t>
      </w:r>
      <w:r w:rsidDel="00000000" w:rsidR="00000000" w:rsidRPr="00000000">
        <w:rPr>
          <w:rFonts w:ascii="Arial" w:cs="Arial" w:eastAsia="Arial" w:hAnsi="Arial"/>
          <w:i w:val="0"/>
          <w:color w:val="575b5f"/>
          <w:sz w:val="24"/>
          <w:szCs w:val="24"/>
          <w:vertAlign w:val="superscript"/>
          <w:rtl w:val="0"/>
        </w:rPr>
        <w:t xml:space="preserve">53</w:t>
      </w:r>
      <w:r w:rsidDel="00000000" w:rsidR="00000000" w:rsidRPr="00000000">
        <w:rPr>
          <w:rFonts w:ascii="Arial" w:cs="Arial" w:eastAsia="Arial" w:hAnsi="Arial"/>
          <w:i w:val="0"/>
          <w:color w:val="1b1c1d"/>
          <w:sz w:val="24"/>
          <w:szCs w:val="24"/>
          <w:rtl w:val="0"/>
        </w:rPr>
        <w:t xml:space="preserve"> These feeds are essential for connecting the macro-plumbing signals to specific securities finance outcomes.</w:t>
      </w:r>
      <w:r w:rsidDel="00000000" w:rsidR="00000000" w:rsidRPr="00000000">
        <w:rPr>
          <w:rtl w:val="0"/>
        </w:rPr>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Technical Roadmap</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logical, phased implementation would proceed as follows:</w:t>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Phase 1: Data Infrastructure &amp; Monitoring:</w:t>
      </w:r>
      <w:r w:rsidDel="00000000" w:rsidR="00000000" w:rsidRPr="00000000">
        <w:rPr>
          <w:rtl w:val="0"/>
        </w:rPr>
      </w:r>
    </w:p>
    <w:p w:rsidR="00000000" w:rsidDel="00000000" w:rsidP="00000000" w:rsidRDefault="00000000" w:rsidRPr="00000000" w14:paraId="00000132">
      <w:pPr>
        <w:numPr>
          <w:ilvl w:val="1"/>
          <w:numId w:val="13"/>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i w:val="0"/>
          <w:color w:val="1b1c1d"/>
          <w:sz w:val="24"/>
          <w:szCs w:val="24"/>
          <w:rtl w:val="0"/>
        </w:rPr>
        <w:t xml:space="preserve">Build automated data ingestion pipelines for all public and commercial data sources identified above.</w:t>
      </w:r>
      <w:r w:rsidDel="00000000" w:rsidR="00000000" w:rsidRPr="00000000">
        <w:rPr>
          <w:rtl w:val="0"/>
        </w:rPr>
      </w:r>
    </w:p>
    <w:p w:rsidR="00000000" w:rsidDel="00000000" w:rsidP="00000000" w:rsidRDefault="00000000" w:rsidRPr="00000000" w14:paraId="00000133">
      <w:pPr>
        <w:numPr>
          <w:ilvl w:val="1"/>
          <w:numId w:val="13"/>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Construct the four real-time monitoring dashboards as specified in Section 4. This will provide immediate situational awareness and a qualitative understanding of market dynamics.</w:t>
      </w:r>
      <w:r w:rsidDel="00000000" w:rsidR="00000000" w:rsidRPr="00000000">
        <w:rPr>
          <w:rtl w:val="0"/>
        </w:rPr>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Phase 2: Signal Construction &amp; Backtesting:</w:t>
      </w:r>
      <w:r w:rsidDel="00000000" w:rsidR="00000000" w:rsidRPr="00000000">
        <w:rPr>
          <w:rtl w:val="0"/>
        </w:rPr>
      </w:r>
    </w:p>
    <w:p w:rsidR="00000000" w:rsidDel="00000000" w:rsidP="00000000" w:rsidRDefault="00000000" w:rsidRPr="00000000" w14:paraId="00000135">
      <w:pPr>
        <w:numPr>
          <w:ilvl w:val="1"/>
          <w:numId w:val="14"/>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i w:val="0"/>
          <w:color w:val="1b1c1d"/>
          <w:sz w:val="24"/>
          <w:szCs w:val="24"/>
          <w:rtl w:val="0"/>
        </w:rPr>
        <w:t xml:space="preserve">Using historical data, replicate the composite indices—the Plumbing Liquidity Index (PLI) and the Collateral Quality Demand (CQD) indicator.</w:t>
      </w:r>
      <w:r w:rsidDel="00000000" w:rsidR="00000000" w:rsidRPr="00000000">
        <w:rPr>
          <w:rtl w:val="0"/>
        </w:rPr>
      </w:r>
    </w:p>
    <w:p w:rsidR="00000000" w:rsidDel="00000000" w:rsidP="00000000" w:rsidRDefault="00000000" w:rsidRPr="00000000" w14:paraId="00000136">
      <w:pPr>
        <w:numPr>
          <w:ilvl w:val="1"/>
          <w:numId w:val="14"/>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Conduct rigorous backtesting of these indices against the firm's historical securities finance data. This involves performing the correlation, lead-lag, and regime-shift analyses outlined in Section 2.2 to statistically validate the predictive power of the signals.</w:t>
      </w:r>
      <w:r w:rsidDel="00000000" w:rsidR="00000000" w:rsidRPr="00000000">
        <w:rPr>
          <w:rtl w:val="0"/>
        </w:rPr>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Phase 3: Integration &amp; Alpha Generation:</w:t>
      </w:r>
      <w:r w:rsidDel="00000000" w:rsidR="00000000" w:rsidRPr="00000000">
        <w:rPr>
          <w:rtl w:val="0"/>
        </w:rPr>
      </w:r>
    </w:p>
    <w:p w:rsidR="00000000" w:rsidDel="00000000" w:rsidP="00000000" w:rsidRDefault="00000000" w:rsidRPr="00000000" w14:paraId="00000138">
      <w:pPr>
        <w:numPr>
          <w:ilvl w:val="1"/>
          <w:numId w:val="15"/>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i w:val="0"/>
          <w:color w:val="1b1c1d"/>
          <w:sz w:val="24"/>
          <w:szCs w:val="24"/>
          <w:rtl w:val="0"/>
        </w:rPr>
        <w:t xml:space="preserve">Integrate the validated PLI and CQD signals into existing risk management models. For example, a rising PLI could trigger a dynamic reduction in risk limits or an increase in collateral requirements for certain counterparties.</w:t>
      </w:r>
      <w:r w:rsidDel="00000000" w:rsidR="00000000" w:rsidRPr="00000000">
        <w:rPr>
          <w:rtl w:val="0"/>
        </w:rPr>
      </w:r>
    </w:p>
    <w:p w:rsidR="00000000" w:rsidDel="00000000" w:rsidP="00000000" w:rsidRDefault="00000000" w:rsidRPr="00000000" w14:paraId="00000139">
      <w:pPr>
        <w:numPr>
          <w:ilvl w:val="1"/>
          <w:numId w:val="15"/>
        </w:numPr>
        <w:pBdr>
          <w:top w:space="0" w:sz="0" w:val="nil"/>
          <w:left w:space="0" w:sz="0" w:val="nil"/>
          <w:bottom w:space="0" w:sz="0" w:val="nil"/>
          <w:right w:space="0" w:sz="0" w:val="nil"/>
          <w:between w:space="0" w:sz="0" w:val="nil"/>
        </w:pBdr>
        <w:shd w:fill="auto" w:val="clear"/>
        <w:spacing w:after="12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Explore the use of these signals in alpha-generating strategies. This could involve using the framework to forecast changes in the "specialness" of certain securities, to position for widening or tightening of collateral basis spreads, or to inform tactical allocation decisions between cash and different classes of collateral.</w:t>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E">
      <w:pPr>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4F">
      <w:pPr>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Further Reading</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b w:val="1"/>
          <w:sz w:val="24"/>
          <w:szCs w:val="24"/>
        </w:rPr>
      </w:pPr>
      <w:r w:rsidDel="00000000" w:rsidR="00000000" w:rsidRPr="00000000">
        <w:rPr>
          <w:rFonts w:ascii="Arial" w:cs="Arial" w:eastAsia="Arial" w:hAnsi="Arial"/>
          <w:i w:val="0"/>
          <w:color w:val="1b1c1d"/>
          <w:sz w:val="24"/>
          <w:szCs w:val="24"/>
          <w:rtl w:val="0"/>
        </w:rPr>
        <w:t xml:space="preserve">The conceptual underpinnings of this framework are heavily influenced by the "money view" school of thought, which emphasizes the role of balance sheets and payment systems in understanding the economy. The work of key thinkers in this space is highly recommended for a deeper theoretical understanding of the dynamics discussed in this report. In particular, the research and commentary of </w:t>
      </w:r>
      <w:r w:rsidDel="00000000" w:rsidR="00000000" w:rsidRPr="00000000">
        <w:rPr>
          <w:rFonts w:ascii="Arial" w:cs="Arial" w:eastAsia="Arial" w:hAnsi="Arial"/>
          <w:b w:val="1"/>
          <w:i w:val="0"/>
          <w:color w:val="1b1c1d"/>
          <w:sz w:val="24"/>
          <w:szCs w:val="24"/>
          <w:rtl w:val="0"/>
        </w:rPr>
        <w:t xml:space="preserve">Zoltan Pozsar</w:t>
      </w:r>
      <w:r w:rsidDel="00000000" w:rsidR="00000000" w:rsidRPr="00000000">
        <w:rPr>
          <w:rFonts w:ascii="Arial" w:cs="Arial" w:eastAsia="Arial" w:hAnsi="Arial"/>
          <w:i w:val="0"/>
          <w:color w:val="1b1c1d"/>
          <w:sz w:val="24"/>
          <w:szCs w:val="24"/>
          <w:rtl w:val="0"/>
        </w:rPr>
        <w:t xml:space="preserve"> (formerly of Credit Suisse and the FRBNY) and </w:t>
      </w:r>
      <w:r w:rsidDel="00000000" w:rsidR="00000000" w:rsidRPr="00000000">
        <w:rPr>
          <w:rFonts w:ascii="Arial" w:cs="Arial" w:eastAsia="Arial" w:hAnsi="Arial"/>
          <w:b w:val="1"/>
          <w:i w:val="0"/>
          <w:color w:val="1b1c1d"/>
          <w:sz w:val="24"/>
          <w:szCs w:val="24"/>
          <w:rtl w:val="0"/>
        </w:rPr>
        <w:t xml:space="preserve">Professor Perry Mehrling</w:t>
      </w:r>
      <w:r w:rsidDel="00000000" w:rsidR="00000000" w:rsidRPr="00000000">
        <w:rPr>
          <w:rFonts w:ascii="Arial" w:cs="Arial" w:eastAsia="Arial" w:hAnsi="Arial"/>
          <w:i w:val="0"/>
          <w:color w:val="1b1c1d"/>
          <w:sz w:val="24"/>
          <w:szCs w:val="24"/>
          <w:rtl w:val="0"/>
        </w:rPr>
        <w:t xml:space="preserve"> (Boston University) provide an invaluable and rich perspective on the intricacies of financial plumbing and the global dollar system.</w:t>
      </w:r>
      <w:r w:rsidDel="00000000" w:rsidR="00000000" w:rsidRPr="00000000">
        <w:rPr>
          <w:rFonts w:ascii="Arial" w:cs="Arial" w:eastAsia="Arial" w:hAnsi="Arial"/>
          <w:i w:val="0"/>
          <w:color w:val="575b5f"/>
          <w:sz w:val="24"/>
          <w:szCs w:val="24"/>
          <w:vertAlign w:val="superscript"/>
          <w:rtl w:val="0"/>
        </w:rPr>
        <w:t xml:space="preserve">3</w:t>
      </w:r>
      <w:r w:rsidDel="00000000" w:rsidR="00000000" w:rsidRPr="00000000">
        <w:rPr>
          <w:rFonts w:ascii="Arial" w:cs="Arial" w:eastAsia="Arial" w:hAnsi="Arial"/>
          <w:i w:val="0"/>
          <w:color w:val="1b1c1d"/>
          <w:sz w:val="24"/>
          <w:szCs w:val="24"/>
          <w:rtl w:val="0"/>
        </w:rPr>
        <w:t xml:space="preserve"> Their analyses offer a continuous stream of insights into the ever-evolving nature of modern money markets</w:t>
      </w:r>
      <w:r w:rsidDel="00000000" w:rsidR="00000000" w:rsidRPr="00000000">
        <w:rPr>
          <w:rFonts w:ascii="Arial" w:cs="Arial" w:eastAsia="Arial" w:hAnsi="Arial"/>
          <w:color w:val="1b1c1d"/>
          <w:sz w:val="24"/>
          <w:szCs w:val="24"/>
          <w:rtl w:val="0"/>
        </w:rPr>
        <w:br w:type="textWrapping"/>
      </w:r>
      <w:r w:rsidDel="00000000" w:rsidR="00000000" w:rsidRPr="00000000">
        <w:rPr>
          <w:rFonts w:ascii="Arial" w:cs="Arial" w:eastAsia="Arial" w:hAnsi="Arial"/>
          <w:b w:val="1"/>
          <w:sz w:val="24"/>
          <w:szCs w:val="24"/>
          <w:rtl w:val="0"/>
        </w:rPr>
        <w:t xml:space="preserve">Works cited</w:t>
      </w:r>
    </w:p>
    <w:p w:rsidR="00000000" w:rsidDel="00000000" w:rsidP="00000000" w:rsidRDefault="00000000" w:rsidRPr="00000000" w14:paraId="00000152">
      <w:pPr>
        <w:numPr>
          <w:ilvl w:val="0"/>
          <w:numId w:val="16"/>
        </w:numPr>
        <w:ind w:left="600" w:hanging="360"/>
        <w:rPr/>
      </w:pPr>
      <w:r w:rsidDel="00000000" w:rsidR="00000000" w:rsidRPr="00000000">
        <w:rPr>
          <w:rFonts w:ascii="Arial" w:cs="Arial" w:eastAsia="Arial" w:hAnsi="Arial"/>
          <w:sz w:val="24"/>
          <w:szCs w:val="24"/>
          <w:rtl w:val="0"/>
        </w:rPr>
        <w:t xml:space="preserve">Plumbing (finance) - Wikipedia, accessed July 30, 2025, </w:t>
      </w:r>
      <w:hyperlink r:id="rId7">
        <w:r w:rsidDel="00000000" w:rsidR="00000000" w:rsidRPr="00000000">
          <w:rPr>
            <w:rFonts w:ascii="Arial" w:cs="Arial" w:eastAsia="Arial" w:hAnsi="Arial"/>
            <w:color w:val="0000ee"/>
            <w:sz w:val="24"/>
            <w:szCs w:val="24"/>
            <w:u w:val="single"/>
            <w:rtl w:val="0"/>
          </w:rPr>
          <w:t xml:space="preserve">https://en.wikipedia.org/wiki/Plumbing_(finance)</w:t>
        </w:r>
      </w:hyperlink>
      <w:r w:rsidDel="00000000" w:rsidR="00000000" w:rsidRPr="00000000">
        <w:rPr>
          <w:rtl w:val="0"/>
        </w:rPr>
      </w:r>
    </w:p>
    <w:p w:rsidR="00000000" w:rsidDel="00000000" w:rsidP="00000000" w:rsidRDefault="00000000" w:rsidRPr="00000000" w14:paraId="00000153">
      <w:pPr>
        <w:numPr>
          <w:ilvl w:val="0"/>
          <w:numId w:val="16"/>
        </w:numPr>
        <w:ind w:left="600" w:hanging="360"/>
        <w:rPr/>
      </w:pPr>
      <w:r w:rsidDel="00000000" w:rsidR="00000000" w:rsidRPr="00000000">
        <w:rPr>
          <w:rFonts w:ascii="Arial" w:cs="Arial" w:eastAsia="Arial" w:hAnsi="Arial"/>
          <w:sz w:val="24"/>
          <w:szCs w:val="24"/>
          <w:rtl w:val="0"/>
        </w:rPr>
        <w:t xml:space="preserve">Financial Plumbing - DayTrading.com, accessed July 30, 2025, </w:t>
      </w:r>
      <w:hyperlink r:id="rId8">
        <w:r w:rsidDel="00000000" w:rsidR="00000000" w:rsidRPr="00000000">
          <w:rPr>
            <w:rFonts w:ascii="Arial" w:cs="Arial" w:eastAsia="Arial" w:hAnsi="Arial"/>
            <w:color w:val="0000ee"/>
            <w:sz w:val="24"/>
            <w:szCs w:val="24"/>
            <w:u w:val="single"/>
            <w:rtl w:val="0"/>
          </w:rPr>
          <w:t xml:space="preserve">https://www.daytrading.com/financial-plumbing</w:t>
        </w:r>
      </w:hyperlink>
      <w:r w:rsidDel="00000000" w:rsidR="00000000" w:rsidRPr="00000000">
        <w:rPr>
          <w:rtl w:val="0"/>
        </w:rPr>
      </w:r>
    </w:p>
    <w:p w:rsidR="00000000" w:rsidDel="00000000" w:rsidP="00000000" w:rsidRDefault="00000000" w:rsidRPr="00000000" w14:paraId="00000154">
      <w:pPr>
        <w:numPr>
          <w:ilvl w:val="0"/>
          <w:numId w:val="16"/>
        </w:numPr>
        <w:ind w:left="600" w:hanging="360"/>
        <w:rPr/>
      </w:pPr>
      <w:r w:rsidDel="00000000" w:rsidR="00000000" w:rsidRPr="00000000">
        <w:rPr>
          <w:rFonts w:ascii="Arial" w:cs="Arial" w:eastAsia="Arial" w:hAnsi="Arial"/>
          <w:sz w:val="24"/>
          <w:szCs w:val="24"/>
          <w:rtl w:val="0"/>
        </w:rPr>
        <w:t xml:space="preserve">Zoltan Pozsar's Philosophy on Financial Plumbing and Monetary ..., accessed July 30, 2025, </w:t>
      </w:r>
      <w:hyperlink r:id="rId9">
        <w:r w:rsidDel="00000000" w:rsidR="00000000" w:rsidRPr="00000000">
          <w:rPr>
            <w:rFonts w:ascii="Arial" w:cs="Arial" w:eastAsia="Arial" w:hAnsi="Arial"/>
            <w:color w:val="0000ee"/>
            <w:sz w:val="24"/>
            <w:szCs w:val="24"/>
            <w:u w:val="single"/>
            <w:rtl w:val="0"/>
          </w:rPr>
          <w:t xml:space="preserve">https://www.daytrading.com/zoltan-pozsar</w:t>
        </w:r>
      </w:hyperlink>
      <w:r w:rsidDel="00000000" w:rsidR="00000000" w:rsidRPr="00000000">
        <w:rPr>
          <w:rtl w:val="0"/>
        </w:rPr>
      </w:r>
    </w:p>
    <w:p w:rsidR="00000000" w:rsidDel="00000000" w:rsidP="00000000" w:rsidRDefault="00000000" w:rsidRPr="00000000" w14:paraId="00000155">
      <w:pPr>
        <w:numPr>
          <w:ilvl w:val="0"/>
          <w:numId w:val="16"/>
        </w:numPr>
        <w:ind w:left="600" w:hanging="360"/>
        <w:rPr/>
      </w:pPr>
      <w:r w:rsidDel="00000000" w:rsidR="00000000" w:rsidRPr="00000000">
        <w:rPr>
          <w:rFonts w:ascii="Arial" w:cs="Arial" w:eastAsia="Arial" w:hAnsi="Arial"/>
          <w:sz w:val="24"/>
          <w:szCs w:val="24"/>
          <w:rtl w:val="0"/>
        </w:rPr>
        <w:t xml:space="preserve">Settlement Liquidity and Monetary Policy Implementation—Lessons from the Financial Crisis - Federal Reserve Bank of New York, accessed July 30, 2025, </w:t>
      </w:r>
      <w:hyperlink r:id="rId10">
        <w:r w:rsidDel="00000000" w:rsidR="00000000" w:rsidRPr="00000000">
          <w:rPr>
            <w:rFonts w:ascii="Arial" w:cs="Arial" w:eastAsia="Arial" w:hAnsi="Arial"/>
            <w:color w:val="0000ee"/>
            <w:sz w:val="24"/>
            <w:szCs w:val="24"/>
            <w:u w:val="single"/>
            <w:rtl w:val="0"/>
          </w:rPr>
          <w:t xml:space="preserve">https://www.newyorkfed.org/medialibrary/media/research/epr/forthcoming/1202mart.pdf</w:t>
        </w:r>
      </w:hyperlink>
      <w:r w:rsidDel="00000000" w:rsidR="00000000" w:rsidRPr="00000000">
        <w:rPr>
          <w:rtl w:val="0"/>
        </w:rPr>
      </w:r>
    </w:p>
    <w:p w:rsidR="00000000" w:rsidDel="00000000" w:rsidP="00000000" w:rsidRDefault="00000000" w:rsidRPr="00000000" w14:paraId="00000156">
      <w:pPr>
        <w:numPr>
          <w:ilvl w:val="0"/>
          <w:numId w:val="16"/>
        </w:numPr>
        <w:ind w:left="600" w:hanging="360"/>
        <w:rPr/>
      </w:pPr>
      <w:r w:rsidDel="00000000" w:rsidR="00000000" w:rsidRPr="00000000">
        <w:rPr>
          <w:rFonts w:ascii="Arial" w:cs="Arial" w:eastAsia="Arial" w:hAnsi="Arial"/>
          <w:sz w:val="24"/>
          <w:szCs w:val="24"/>
          <w:rtl w:val="0"/>
        </w:rPr>
        <w:t xml:space="preserve">Monetary Policy Implementation - FEDERAL RESERVE BANK of ..., accessed July 30, 2025, </w:t>
      </w:r>
      <w:hyperlink r:id="rId11">
        <w:r w:rsidDel="00000000" w:rsidR="00000000" w:rsidRPr="00000000">
          <w:rPr>
            <w:rFonts w:ascii="Arial" w:cs="Arial" w:eastAsia="Arial" w:hAnsi="Arial"/>
            <w:color w:val="0000ee"/>
            <w:sz w:val="24"/>
            <w:szCs w:val="24"/>
            <w:u w:val="single"/>
            <w:rtl w:val="0"/>
          </w:rPr>
          <w:t xml:space="preserve">https://www.newyorkfed.org/markets/domestic-market-operations/monetary-policy-implementation</w:t>
        </w:r>
      </w:hyperlink>
      <w:r w:rsidDel="00000000" w:rsidR="00000000" w:rsidRPr="00000000">
        <w:rPr>
          <w:rtl w:val="0"/>
        </w:rPr>
      </w:r>
    </w:p>
    <w:p w:rsidR="00000000" w:rsidDel="00000000" w:rsidP="00000000" w:rsidRDefault="00000000" w:rsidRPr="00000000" w14:paraId="00000157">
      <w:pPr>
        <w:numPr>
          <w:ilvl w:val="0"/>
          <w:numId w:val="16"/>
        </w:numPr>
        <w:ind w:left="600" w:hanging="360"/>
        <w:rPr/>
      </w:pPr>
      <w:r w:rsidDel="00000000" w:rsidR="00000000" w:rsidRPr="00000000">
        <w:rPr>
          <w:rFonts w:ascii="Arial" w:cs="Arial" w:eastAsia="Arial" w:hAnsi="Arial"/>
          <w:sz w:val="24"/>
          <w:szCs w:val="24"/>
          <w:rtl w:val="0"/>
        </w:rPr>
        <w:t xml:space="preserve">Federal Funds Rate: What It Is, How It's Determined, and Why It's Important - Investopedia, accessed July 30, 2025, </w:t>
      </w:r>
      <w:hyperlink r:id="rId12">
        <w:r w:rsidDel="00000000" w:rsidR="00000000" w:rsidRPr="00000000">
          <w:rPr>
            <w:rFonts w:ascii="Arial" w:cs="Arial" w:eastAsia="Arial" w:hAnsi="Arial"/>
            <w:color w:val="0000ee"/>
            <w:sz w:val="24"/>
            <w:szCs w:val="24"/>
            <w:u w:val="single"/>
            <w:rtl w:val="0"/>
          </w:rPr>
          <w:t xml:space="preserve">https://www.investopedia.com/terms/f/federalfundsrate.asp</w:t>
        </w:r>
      </w:hyperlink>
      <w:r w:rsidDel="00000000" w:rsidR="00000000" w:rsidRPr="00000000">
        <w:rPr>
          <w:rtl w:val="0"/>
        </w:rPr>
      </w:r>
    </w:p>
    <w:p w:rsidR="00000000" w:rsidDel="00000000" w:rsidP="00000000" w:rsidRDefault="00000000" w:rsidRPr="00000000" w14:paraId="00000158">
      <w:pPr>
        <w:numPr>
          <w:ilvl w:val="0"/>
          <w:numId w:val="16"/>
        </w:numPr>
        <w:ind w:left="600" w:hanging="360"/>
        <w:rPr/>
      </w:pPr>
      <w:r w:rsidDel="00000000" w:rsidR="00000000" w:rsidRPr="00000000">
        <w:rPr>
          <w:rFonts w:ascii="Arial" w:cs="Arial" w:eastAsia="Arial" w:hAnsi="Arial"/>
          <w:sz w:val="24"/>
          <w:szCs w:val="24"/>
          <w:rtl w:val="0"/>
        </w:rPr>
        <w:t xml:space="preserve">Effective Federal Funds Rate - FEDERAL RESERVE BANK of NEW YORK, accessed July 30, 2025, </w:t>
      </w:r>
      <w:hyperlink r:id="rId13">
        <w:r w:rsidDel="00000000" w:rsidR="00000000" w:rsidRPr="00000000">
          <w:rPr>
            <w:rFonts w:ascii="Arial" w:cs="Arial" w:eastAsia="Arial" w:hAnsi="Arial"/>
            <w:color w:val="0000ee"/>
            <w:sz w:val="24"/>
            <w:szCs w:val="24"/>
            <w:u w:val="single"/>
            <w:rtl w:val="0"/>
          </w:rPr>
          <w:t xml:space="preserve">https://www.newyorkfed.org/markets/reference-rates/effr</w:t>
        </w:r>
      </w:hyperlink>
      <w:r w:rsidDel="00000000" w:rsidR="00000000" w:rsidRPr="00000000">
        <w:rPr>
          <w:rtl w:val="0"/>
        </w:rPr>
      </w:r>
    </w:p>
    <w:p w:rsidR="00000000" w:rsidDel="00000000" w:rsidP="00000000" w:rsidRDefault="00000000" w:rsidRPr="00000000" w14:paraId="00000159">
      <w:pPr>
        <w:numPr>
          <w:ilvl w:val="0"/>
          <w:numId w:val="16"/>
        </w:numPr>
        <w:ind w:left="600" w:hanging="360"/>
        <w:rPr/>
      </w:pPr>
      <w:r w:rsidDel="00000000" w:rsidR="00000000" w:rsidRPr="00000000">
        <w:rPr>
          <w:rFonts w:ascii="Arial" w:cs="Arial" w:eastAsia="Arial" w:hAnsi="Arial"/>
          <w:sz w:val="24"/>
          <w:szCs w:val="24"/>
          <w:rtl w:val="0"/>
        </w:rPr>
        <w:t xml:space="preserve">The Fed - Economy at a Glance - Policy Rate - Federal Reserve Board, accessed July 30, 2025, </w:t>
      </w:r>
      <w:hyperlink r:id="rId14">
        <w:r w:rsidDel="00000000" w:rsidR="00000000" w:rsidRPr="00000000">
          <w:rPr>
            <w:rFonts w:ascii="Arial" w:cs="Arial" w:eastAsia="Arial" w:hAnsi="Arial"/>
            <w:color w:val="0000ee"/>
            <w:sz w:val="24"/>
            <w:szCs w:val="24"/>
            <w:u w:val="single"/>
            <w:rtl w:val="0"/>
          </w:rPr>
          <w:t xml:space="preserve">https://www.federalreserve.gov/economy-at-a-glance-policy-rate.htm</w:t>
        </w:r>
      </w:hyperlink>
      <w:r w:rsidDel="00000000" w:rsidR="00000000" w:rsidRPr="00000000">
        <w:rPr>
          <w:rtl w:val="0"/>
        </w:rPr>
      </w:r>
    </w:p>
    <w:p w:rsidR="00000000" w:rsidDel="00000000" w:rsidP="00000000" w:rsidRDefault="00000000" w:rsidRPr="00000000" w14:paraId="0000015A">
      <w:pPr>
        <w:numPr>
          <w:ilvl w:val="0"/>
          <w:numId w:val="16"/>
        </w:numPr>
        <w:ind w:left="600" w:hanging="360"/>
        <w:rPr/>
      </w:pPr>
      <w:r w:rsidDel="00000000" w:rsidR="00000000" w:rsidRPr="00000000">
        <w:rPr>
          <w:rFonts w:ascii="Arial" w:cs="Arial" w:eastAsia="Arial" w:hAnsi="Arial"/>
          <w:sz w:val="24"/>
          <w:szCs w:val="24"/>
          <w:rtl w:val="0"/>
        </w:rPr>
        <w:t xml:space="preserve">Federal Reserve holds its benchmark rate steady at today's FOMC meeting - CBS News, accessed July 30, 2025, </w:t>
      </w:r>
      <w:hyperlink r:id="rId15">
        <w:r w:rsidDel="00000000" w:rsidR="00000000" w:rsidRPr="00000000">
          <w:rPr>
            <w:rFonts w:ascii="Arial" w:cs="Arial" w:eastAsia="Arial" w:hAnsi="Arial"/>
            <w:color w:val="0000ee"/>
            <w:sz w:val="24"/>
            <w:szCs w:val="24"/>
            <w:u w:val="single"/>
            <w:rtl w:val="0"/>
          </w:rPr>
          <w:t xml:space="preserve">https://www.cbsnews.com/news/federal-reserve-meeting-today-fed-fomc-interest-rate-trump-powell/</w:t>
        </w:r>
      </w:hyperlink>
      <w:r w:rsidDel="00000000" w:rsidR="00000000" w:rsidRPr="00000000">
        <w:rPr>
          <w:rtl w:val="0"/>
        </w:rPr>
      </w:r>
    </w:p>
    <w:p w:rsidR="00000000" w:rsidDel="00000000" w:rsidP="00000000" w:rsidRDefault="00000000" w:rsidRPr="00000000" w14:paraId="0000015B">
      <w:pPr>
        <w:numPr>
          <w:ilvl w:val="0"/>
          <w:numId w:val="16"/>
        </w:numPr>
        <w:ind w:left="600" w:hanging="360"/>
        <w:rPr/>
      </w:pPr>
      <w:r w:rsidDel="00000000" w:rsidR="00000000" w:rsidRPr="00000000">
        <w:rPr>
          <w:rFonts w:ascii="Arial" w:cs="Arial" w:eastAsia="Arial" w:hAnsi="Arial"/>
          <w:sz w:val="24"/>
          <w:szCs w:val="24"/>
          <w:rtl w:val="0"/>
        </w:rPr>
        <w:t xml:space="preserve">Federal Reserve Board - Home, accessed July 30, 2025, </w:t>
      </w:r>
      <w:hyperlink r:id="rId16">
        <w:r w:rsidDel="00000000" w:rsidR="00000000" w:rsidRPr="00000000">
          <w:rPr>
            <w:rFonts w:ascii="Arial" w:cs="Arial" w:eastAsia="Arial" w:hAnsi="Arial"/>
            <w:color w:val="0000ee"/>
            <w:sz w:val="24"/>
            <w:szCs w:val="24"/>
            <w:u w:val="single"/>
            <w:rtl w:val="0"/>
          </w:rPr>
          <w:t xml:space="preserve">https://www.federalreserve.gov/</w:t>
        </w:r>
      </w:hyperlink>
      <w:r w:rsidDel="00000000" w:rsidR="00000000" w:rsidRPr="00000000">
        <w:rPr>
          <w:rtl w:val="0"/>
        </w:rPr>
      </w:r>
    </w:p>
    <w:p w:rsidR="00000000" w:rsidDel="00000000" w:rsidP="00000000" w:rsidRDefault="00000000" w:rsidRPr="00000000" w14:paraId="0000015C">
      <w:pPr>
        <w:numPr>
          <w:ilvl w:val="0"/>
          <w:numId w:val="16"/>
        </w:numPr>
        <w:ind w:left="600" w:hanging="360"/>
        <w:rPr/>
      </w:pPr>
      <w:r w:rsidDel="00000000" w:rsidR="00000000" w:rsidRPr="00000000">
        <w:rPr>
          <w:rFonts w:ascii="Arial" w:cs="Arial" w:eastAsia="Arial" w:hAnsi="Arial"/>
          <w:sz w:val="24"/>
          <w:szCs w:val="24"/>
          <w:rtl w:val="0"/>
        </w:rPr>
        <w:t xml:space="preserve">Repo and Reverse Repo Agreements - FEDERAL RESERVE BANK of NEW YORK, accessed July 30, 2025, </w:t>
      </w:r>
      <w:hyperlink r:id="rId17">
        <w:r w:rsidDel="00000000" w:rsidR="00000000" w:rsidRPr="00000000">
          <w:rPr>
            <w:rFonts w:ascii="Arial" w:cs="Arial" w:eastAsia="Arial" w:hAnsi="Arial"/>
            <w:color w:val="0000ee"/>
            <w:sz w:val="24"/>
            <w:szCs w:val="24"/>
            <w:u w:val="single"/>
            <w:rtl w:val="0"/>
          </w:rPr>
          <w:t xml:space="preserve">https://www.newyorkfed.org/markets/domestic-market-operations/monetary-policy-implementation/repo-reverse-repo-agreements</w:t>
        </w:r>
      </w:hyperlink>
      <w:r w:rsidDel="00000000" w:rsidR="00000000" w:rsidRPr="00000000">
        <w:rPr>
          <w:rtl w:val="0"/>
        </w:rPr>
      </w:r>
    </w:p>
    <w:p w:rsidR="00000000" w:rsidDel="00000000" w:rsidP="00000000" w:rsidRDefault="00000000" w:rsidRPr="00000000" w14:paraId="0000015D">
      <w:pPr>
        <w:numPr>
          <w:ilvl w:val="0"/>
          <w:numId w:val="16"/>
        </w:numPr>
        <w:ind w:left="600" w:hanging="360"/>
        <w:rPr/>
      </w:pPr>
      <w:r w:rsidDel="00000000" w:rsidR="00000000" w:rsidRPr="00000000">
        <w:rPr>
          <w:rFonts w:ascii="Arial" w:cs="Arial" w:eastAsia="Arial" w:hAnsi="Arial"/>
          <w:sz w:val="24"/>
          <w:szCs w:val="24"/>
          <w:rtl w:val="0"/>
        </w:rPr>
        <w:t xml:space="preserve">Money Market Funds and the Repo Market | SEC.gov, accessed July 30, 2025, </w:t>
      </w:r>
      <w:hyperlink r:id="rId18">
        <w:r w:rsidDel="00000000" w:rsidR="00000000" w:rsidRPr="00000000">
          <w:rPr>
            <w:rFonts w:ascii="Arial" w:cs="Arial" w:eastAsia="Arial" w:hAnsi="Arial"/>
            <w:color w:val="0000ee"/>
            <w:sz w:val="24"/>
            <w:szCs w:val="24"/>
            <w:u w:val="single"/>
            <w:rtl w:val="0"/>
          </w:rPr>
          <w:t xml:space="preserve">https://www.sec.gov/files/mmfs-and-repo-market-021721.pdf</w:t>
        </w:r>
      </w:hyperlink>
      <w:r w:rsidDel="00000000" w:rsidR="00000000" w:rsidRPr="00000000">
        <w:rPr>
          <w:rtl w:val="0"/>
        </w:rPr>
      </w:r>
    </w:p>
    <w:p w:rsidR="00000000" w:rsidDel="00000000" w:rsidP="00000000" w:rsidRDefault="00000000" w:rsidRPr="00000000" w14:paraId="0000015E">
      <w:pPr>
        <w:numPr>
          <w:ilvl w:val="0"/>
          <w:numId w:val="16"/>
        </w:numPr>
        <w:ind w:left="600" w:hanging="360"/>
        <w:rPr/>
      </w:pPr>
      <w:r w:rsidDel="00000000" w:rsidR="00000000" w:rsidRPr="00000000">
        <w:rPr>
          <w:rFonts w:ascii="Arial" w:cs="Arial" w:eastAsia="Arial" w:hAnsi="Arial"/>
          <w:sz w:val="24"/>
          <w:szCs w:val="24"/>
          <w:rtl w:val="0"/>
        </w:rPr>
        <w:t xml:space="preserve">Financial Plumbing and Monetary Policy; by Manmohan Singh; IMF ..., accessed July 30, 2025, </w:t>
      </w:r>
      <w:hyperlink r:id="rId19">
        <w:r w:rsidDel="00000000" w:rsidR="00000000" w:rsidRPr="00000000">
          <w:rPr>
            <w:rFonts w:ascii="Arial" w:cs="Arial" w:eastAsia="Arial" w:hAnsi="Arial"/>
            <w:color w:val="0000ee"/>
            <w:sz w:val="24"/>
            <w:szCs w:val="24"/>
            <w:u w:val="single"/>
            <w:rtl w:val="0"/>
          </w:rPr>
          <w:t xml:space="preserve">https://www.imf.org/external/pubs/ft/wp/2014/wp14111.pdf</w:t>
        </w:r>
      </w:hyperlink>
      <w:r w:rsidDel="00000000" w:rsidR="00000000" w:rsidRPr="00000000">
        <w:rPr>
          <w:rtl w:val="0"/>
        </w:rPr>
      </w:r>
    </w:p>
    <w:p w:rsidR="00000000" w:rsidDel="00000000" w:rsidP="00000000" w:rsidRDefault="00000000" w:rsidRPr="00000000" w14:paraId="0000015F">
      <w:pPr>
        <w:numPr>
          <w:ilvl w:val="0"/>
          <w:numId w:val="16"/>
        </w:numPr>
        <w:ind w:left="600" w:hanging="360"/>
        <w:rPr/>
      </w:pPr>
      <w:r w:rsidDel="00000000" w:rsidR="00000000" w:rsidRPr="00000000">
        <w:rPr>
          <w:rFonts w:ascii="Arial" w:cs="Arial" w:eastAsia="Arial" w:hAnsi="Arial"/>
          <w:sz w:val="24"/>
          <w:szCs w:val="24"/>
          <w:rtl w:val="0"/>
        </w:rPr>
        <w:t xml:space="preserve">Overnight Reverse Repurchase Agreements: Treasury Securities ..., accessed July 30, 2025, </w:t>
      </w:r>
      <w:hyperlink r:id="rId20">
        <w:r w:rsidDel="00000000" w:rsidR="00000000" w:rsidRPr="00000000">
          <w:rPr>
            <w:rFonts w:ascii="Arial" w:cs="Arial" w:eastAsia="Arial" w:hAnsi="Arial"/>
            <w:color w:val="0000ee"/>
            <w:sz w:val="24"/>
            <w:szCs w:val="24"/>
            <w:u w:val="single"/>
            <w:rtl w:val="0"/>
          </w:rPr>
          <w:t xml:space="preserve">https://fred.stlouisfed.org/series/RRPONTSYD</w:t>
        </w:r>
      </w:hyperlink>
      <w:r w:rsidDel="00000000" w:rsidR="00000000" w:rsidRPr="00000000">
        <w:rPr>
          <w:rtl w:val="0"/>
        </w:rPr>
      </w:r>
    </w:p>
    <w:p w:rsidR="00000000" w:rsidDel="00000000" w:rsidP="00000000" w:rsidRDefault="00000000" w:rsidRPr="00000000" w14:paraId="00000160">
      <w:pPr>
        <w:numPr>
          <w:ilvl w:val="0"/>
          <w:numId w:val="16"/>
        </w:numPr>
        <w:ind w:left="600" w:hanging="360"/>
        <w:rPr/>
      </w:pPr>
      <w:r w:rsidDel="00000000" w:rsidR="00000000" w:rsidRPr="00000000">
        <w:rPr>
          <w:rFonts w:ascii="Arial" w:cs="Arial" w:eastAsia="Arial" w:hAnsi="Arial"/>
          <w:sz w:val="24"/>
          <w:szCs w:val="24"/>
          <w:rtl w:val="0"/>
        </w:rPr>
        <w:t xml:space="preserve">Frequently Asked Questions on Repo - ICMA, accessed July 30, 2025, </w:t>
      </w:r>
      <w:hyperlink r:id="rId21">
        <w:r w:rsidDel="00000000" w:rsidR="00000000" w:rsidRPr="00000000">
          <w:rPr>
            <w:rFonts w:ascii="Arial" w:cs="Arial" w:eastAsia="Arial" w:hAnsi="Arial"/>
            <w:color w:val="0000ee"/>
            <w:sz w:val="24"/>
            <w:szCs w:val="24"/>
            <w:u w:val="single"/>
            <w:rtl w:val="0"/>
          </w:rPr>
          <w:t xml:space="preserve">https://www.icmagroup.org/assets/documents/Regulatory/Repo/Repo-FAQs-January-2019.pdf</w:t>
        </w:r>
      </w:hyperlink>
      <w:r w:rsidDel="00000000" w:rsidR="00000000" w:rsidRPr="00000000">
        <w:rPr>
          <w:rtl w:val="0"/>
        </w:rPr>
      </w:r>
    </w:p>
    <w:p w:rsidR="00000000" w:rsidDel="00000000" w:rsidP="00000000" w:rsidRDefault="00000000" w:rsidRPr="00000000" w14:paraId="00000161">
      <w:pPr>
        <w:numPr>
          <w:ilvl w:val="0"/>
          <w:numId w:val="16"/>
        </w:numPr>
        <w:ind w:left="600" w:hanging="360"/>
        <w:rPr/>
      </w:pPr>
      <w:r w:rsidDel="00000000" w:rsidR="00000000" w:rsidRPr="00000000">
        <w:rPr>
          <w:rFonts w:ascii="Arial" w:cs="Arial" w:eastAsia="Arial" w:hAnsi="Arial"/>
          <w:sz w:val="24"/>
          <w:szCs w:val="24"/>
          <w:rtl w:val="0"/>
        </w:rPr>
        <w:t xml:space="preserve">Repo and Securities Lending - Federal Reserve Bank of New York, accessed July 30, 2025, </w:t>
      </w:r>
      <w:hyperlink r:id="rId22">
        <w:r w:rsidDel="00000000" w:rsidR="00000000" w:rsidRPr="00000000">
          <w:rPr>
            <w:rFonts w:ascii="Arial" w:cs="Arial" w:eastAsia="Arial" w:hAnsi="Arial"/>
            <w:color w:val="0000ee"/>
            <w:sz w:val="24"/>
            <w:szCs w:val="24"/>
            <w:u w:val="single"/>
            <w:rtl w:val="0"/>
          </w:rPr>
          <w:t xml:space="preserve">https://www.newyorkfed.org/medialibrary/media/research/staff_reports/sr529.pdf</w:t>
        </w:r>
      </w:hyperlink>
      <w:r w:rsidDel="00000000" w:rsidR="00000000" w:rsidRPr="00000000">
        <w:rPr>
          <w:rtl w:val="0"/>
        </w:rPr>
      </w:r>
    </w:p>
    <w:p w:rsidR="00000000" w:rsidDel="00000000" w:rsidP="00000000" w:rsidRDefault="00000000" w:rsidRPr="00000000" w14:paraId="00000162">
      <w:pPr>
        <w:numPr>
          <w:ilvl w:val="0"/>
          <w:numId w:val="16"/>
        </w:numPr>
        <w:ind w:left="600" w:hanging="360"/>
        <w:rPr/>
      </w:pPr>
      <w:r w:rsidDel="00000000" w:rsidR="00000000" w:rsidRPr="00000000">
        <w:rPr>
          <w:rFonts w:ascii="Arial" w:cs="Arial" w:eastAsia="Arial" w:hAnsi="Arial"/>
          <w:sz w:val="24"/>
          <w:szCs w:val="24"/>
          <w:rtl w:val="0"/>
        </w:rPr>
        <w:t xml:space="preserve">DTCC GCF Repo Index Chart | Global Trade Repository, accessed July 30, 2025, </w:t>
      </w:r>
      <w:hyperlink r:id="rId23">
        <w:r w:rsidDel="00000000" w:rsidR="00000000" w:rsidRPr="00000000">
          <w:rPr>
            <w:rFonts w:ascii="Arial" w:cs="Arial" w:eastAsia="Arial" w:hAnsi="Arial"/>
            <w:color w:val="0000ee"/>
            <w:sz w:val="24"/>
            <w:szCs w:val="24"/>
            <w:u w:val="single"/>
            <w:rtl w:val="0"/>
          </w:rPr>
          <w:t xml:space="preserve">https://www.dtcc.com/charts/dtcc-gcf-repo-index</w:t>
        </w:r>
      </w:hyperlink>
      <w:r w:rsidDel="00000000" w:rsidR="00000000" w:rsidRPr="00000000">
        <w:rPr>
          <w:rtl w:val="0"/>
        </w:rPr>
      </w:r>
    </w:p>
    <w:p w:rsidR="00000000" w:rsidDel="00000000" w:rsidP="00000000" w:rsidRDefault="00000000" w:rsidRPr="00000000" w14:paraId="00000163">
      <w:pPr>
        <w:numPr>
          <w:ilvl w:val="0"/>
          <w:numId w:val="16"/>
        </w:numPr>
        <w:ind w:left="600" w:hanging="360"/>
        <w:rPr/>
      </w:pPr>
      <w:r w:rsidDel="00000000" w:rsidR="00000000" w:rsidRPr="00000000">
        <w:rPr>
          <w:rFonts w:ascii="Arial" w:cs="Arial" w:eastAsia="Arial" w:hAnsi="Arial"/>
          <w:sz w:val="24"/>
          <w:szCs w:val="24"/>
          <w:rtl w:val="0"/>
        </w:rPr>
        <w:t xml:space="preserve">The financial plumbing of the GCF Repo® Service - Fed in Print, accessed July 30, 2025, </w:t>
      </w:r>
      <w:hyperlink r:id="rId24">
        <w:r w:rsidDel="00000000" w:rsidR="00000000" w:rsidRPr="00000000">
          <w:rPr>
            <w:rFonts w:ascii="Arial" w:cs="Arial" w:eastAsia="Arial" w:hAnsi="Arial"/>
            <w:color w:val="0000ee"/>
            <w:sz w:val="24"/>
            <w:szCs w:val="24"/>
            <w:u w:val="single"/>
            <w:rtl w:val="0"/>
          </w:rPr>
          <w:t xml:space="preserve">https://fedinprint.org/item/fednep/20102</w:t>
        </w:r>
      </w:hyperlink>
      <w:r w:rsidDel="00000000" w:rsidR="00000000" w:rsidRPr="00000000">
        <w:rPr>
          <w:rtl w:val="0"/>
        </w:rPr>
      </w:r>
    </w:p>
    <w:p w:rsidR="00000000" w:rsidDel="00000000" w:rsidP="00000000" w:rsidRDefault="00000000" w:rsidRPr="00000000" w14:paraId="00000164">
      <w:pPr>
        <w:numPr>
          <w:ilvl w:val="0"/>
          <w:numId w:val="16"/>
        </w:numPr>
        <w:ind w:left="600" w:hanging="360"/>
        <w:rPr/>
      </w:pPr>
      <w:r w:rsidDel="00000000" w:rsidR="00000000" w:rsidRPr="00000000">
        <w:rPr>
          <w:rFonts w:ascii="Arial" w:cs="Arial" w:eastAsia="Arial" w:hAnsi="Arial"/>
          <w:sz w:val="24"/>
          <w:szCs w:val="24"/>
          <w:rtl w:val="0"/>
        </w:rPr>
        <w:t xml:space="preserve">Comprehensive Guide to Securities Lending: Key Insights - ION Group, accessed July 30, 2025, </w:t>
      </w:r>
      <w:hyperlink r:id="rId25">
        <w:r w:rsidDel="00000000" w:rsidR="00000000" w:rsidRPr="00000000">
          <w:rPr>
            <w:rFonts w:ascii="Arial" w:cs="Arial" w:eastAsia="Arial" w:hAnsi="Arial"/>
            <w:color w:val="0000ee"/>
            <w:sz w:val="24"/>
            <w:szCs w:val="24"/>
            <w:u w:val="single"/>
            <w:rtl w:val="0"/>
          </w:rPr>
          <w:t xml:space="preserve">https://iongroup.com/blog/markets/a-comprehensive-guide-to-securities-lending/</w:t>
        </w:r>
      </w:hyperlink>
      <w:r w:rsidDel="00000000" w:rsidR="00000000" w:rsidRPr="00000000">
        <w:rPr>
          <w:rtl w:val="0"/>
        </w:rPr>
      </w:r>
    </w:p>
    <w:p w:rsidR="00000000" w:rsidDel="00000000" w:rsidP="00000000" w:rsidRDefault="00000000" w:rsidRPr="00000000" w14:paraId="00000165">
      <w:pPr>
        <w:numPr>
          <w:ilvl w:val="0"/>
          <w:numId w:val="16"/>
        </w:numPr>
        <w:ind w:left="600" w:hanging="360"/>
        <w:rPr/>
      </w:pPr>
      <w:r w:rsidDel="00000000" w:rsidR="00000000" w:rsidRPr="00000000">
        <w:rPr>
          <w:rFonts w:ascii="Arial" w:cs="Arial" w:eastAsia="Arial" w:hAnsi="Arial"/>
          <w:sz w:val="24"/>
          <w:szCs w:val="24"/>
          <w:rtl w:val="0"/>
        </w:rPr>
        <w:t xml:space="preserve">What is the difference between securities lending and repo? - Sharegain, accessed July 30, 2025, </w:t>
      </w:r>
      <w:hyperlink r:id="rId26">
        <w:r w:rsidDel="00000000" w:rsidR="00000000" w:rsidRPr="00000000">
          <w:rPr>
            <w:rFonts w:ascii="Arial" w:cs="Arial" w:eastAsia="Arial" w:hAnsi="Arial"/>
            <w:color w:val="0000ee"/>
            <w:sz w:val="24"/>
            <w:szCs w:val="24"/>
            <w:u w:val="single"/>
            <w:rtl w:val="0"/>
          </w:rPr>
          <w:t xml:space="preserve">https://sharegain.com/faq/what-is-the-difference-between-securities-lending-and-repo/</w:t>
        </w:r>
      </w:hyperlink>
      <w:r w:rsidDel="00000000" w:rsidR="00000000" w:rsidRPr="00000000">
        <w:rPr>
          <w:rtl w:val="0"/>
        </w:rPr>
      </w:r>
    </w:p>
    <w:p w:rsidR="00000000" w:rsidDel="00000000" w:rsidP="00000000" w:rsidRDefault="00000000" w:rsidRPr="00000000" w14:paraId="00000166">
      <w:pPr>
        <w:numPr>
          <w:ilvl w:val="0"/>
          <w:numId w:val="16"/>
        </w:numPr>
        <w:ind w:left="600" w:hanging="360"/>
        <w:rPr/>
      </w:pPr>
      <w:r w:rsidDel="00000000" w:rsidR="00000000" w:rsidRPr="00000000">
        <w:rPr>
          <w:rFonts w:ascii="Arial" w:cs="Arial" w:eastAsia="Arial" w:hAnsi="Arial"/>
          <w:sz w:val="24"/>
          <w:szCs w:val="24"/>
          <w:rtl w:val="0"/>
        </w:rPr>
        <w:t xml:space="preserve">Administration of Relationships with Primary Dealers - Federal ..., accessed July 30, 2025, </w:t>
      </w:r>
      <w:hyperlink r:id="rId27">
        <w:r w:rsidDel="00000000" w:rsidR="00000000" w:rsidRPr="00000000">
          <w:rPr>
            <w:rFonts w:ascii="Arial" w:cs="Arial" w:eastAsia="Arial" w:hAnsi="Arial"/>
            <w:color w:val="0000ee"/>
            <w:sz w:val="24"/>
            <w:szCs w:val="24"/>
            <w:u w:val="single"/>
            <w:rtl w:val="0"/>
          </w:rPr>
          <w:t xml:space="preserve">https://www.newyorkfed.org/markets/pridealers_policies.html</w:t>
        </w:r>
      </w:hyperlink>
      <w:r w:rsidDel="00000000" w:rsidR="00000000" w:rsidRPr="00000000">
        <w:rPr>
          <w:rtl w:val="0"/>
        </w:rPr>
      </w:r>
    </w:p>
    <w:p w:rsidR="00000000" w:rsidDel="00000000" w:rsidP="00000000" w:rsidRDefault="00000000" w:rsidRPr="00000000" w14:paraId="00000167">
      <w:pPr>
        <w:numPr>
          <w:ilvl w:val="0"/>
          <w:numId w:val="16"/>
        </w:numPr>
        <w:ind w:left="600" w:hanging="360"/>
        <w:rPr/>
      </w:pPr>
      <w:r w:rsidDel="00000000" w:rsidR="00000000" w:rsidRPr="00000000">
        <w:rPr>
          <w:rFonts w:ascii="Arial" w:cs="Arial" w:eastAsia="Arial" w:hAnsi="Arial"/>
          <w:sz w:val="24"/>
          <w:szCs w:val="24"/>
          <w:rtl w:val="0"/>
        </w:rPr>
        <w:t xml:space="preserve">Primary Dealers - Federal Reserve Bank of New York, accessed July 30, 2025, </w:t>
      </w:r>
      <w:hyperlink r:id="rId28">
        <w:r w:rsidDel="00000000" w:rsidR="00000000" w:rsidRPr="00000000">
          <w:rPr>
            <w:rFonts w:ascii="Arial" w:cs="Arial" w:eastAsia="Arial" w:hAnsi="Arial"/>
            <w:color w:val="0000ee"/>
            <w:sz w:val="24"/>
            <w:szCs w:val="24"/>
            <w:u w:val="single"/>
            <w:rtl w:val="0"/>
          </w:rPr>
          <w:t xml:space="preserve">https://www.newyorkfed.org/markets/primarydealers</w:t>
        </w:r>
      </w:hyperlink>
      <w:r w:rsidDel="00000000" w:rsidR="00000000" w:rsidRPr="00000000">
        <w:rPr>
          <w:rtl w:val="0"/>
        </w:rPr>
      </w:r>
    </w:p>
    <w:p w:rsidR="00000000" w:rsidDel="00000000" w:rsidP="00000000" w:rsidRDefault="00000000" w:rsidRPr="00000000" w14:paraId="00000168">
      <w:pPr>
        <w:numPr>
          <w:ilvl w:val="0"/>
          <w:numId w:val="16"/>
        </w:numPr>
        <w:ind w:left="600" w:hanging="360"/>
        <w:rPr/>
      </w:pPr>
      <w:r w:rsidDel="00000000" w:rsidR="00000000" w:rsidRPr="00000000">
        <w:rPr>
          <w:rFonts w:ascii="Arial" w:cs="Arial" w:eastAsia="Arial" w:hAnsi="Arial"/>
          <w:sz w:val="24"/>
          <w:szCs w:val="24"/>
          <w:rtl w:val="0"/>
        </w:rPr>
        <w:t xml:space="preserve">Primary Dealers | U.S. Department of the Treasury, accessed July 30, 2025, </w:t>
      </w:r>
      <w:hyperlink r:id="rId29">
        <w:r w:rsidDel="00000000" w:rsidR="00000000" w:rsidRPr="00000000">
          <w:rPr>
            <w:rFonts w:ascii="Arial" w:cs="Arial" w:eastAsia="Arial" w:hAnsi="Arial"/>
            <w:color w:val="0000ee"/>
            <w:sz w:val="24"/>
            <w:szCs w:val="24"/>
            <w:u w:val="single"/>
            <w:rtl w:val="0"/>
          </w:rPr>
          <w:t xml:space="preserve">https://home.treasury.gov/policy-issues/financing-the-government/quarterly-refunding/primary-dealers</w:t>
        </w:r>
      </w:hyperlink>
      <w:r w:rsidDel="00000000" w:rsidR="00000000" w:rsidRPr="00000000">
        <w:rPr>
          <w:rtl w:val="0"/>
        </w:rPr>
      </w:r>
    </w:p>
    <w:p w:rsidR="00000000" w:rsidDel="00000000" w:rsidP="00000000" w:rsidRDefault="00000000" w:rsidRPr="00000000" w14:paraId="00000169">
      <w:pPr>
        <w:numPr>
          <w:ilvl w:val="0"/>
          <w:numId w:val="16"/>
        </w:numPr>
        <w:ind w:left="600" w:hanging="360"/>
        <w:rPr/>
      </w:pPr>
      <w:r w:rsidDel="00000000" w:rsidR="00000000" w:rsidRPr="00000000">
        <w:rPr>
          <w:rFonts w:ascii="Arial" w:cs="Arial" w:eastAsia="Arial" w:hAnsi="Arial"/>
          <w:sz w:val="24"/>
          <w:szCs w:val="24"/>
          <w:rtl w:val="0"/>
        </w:rPr>
        <w:t xml:space="preserve">The Primary Dealer Credit Facility - Securities Industry and Financial Markets Association, accessed July 30, 2025, </w:t>
      </w:r>
      <w:hyperlink r:id="rId30">
        <w:r w:rsidDel="00000000" w:rsidR="00000000" w:rsidRPr="00000000">
          <w:rPr>
            <w:rFonts w:ascii="Arial" w:cs="Arial" w:eastAsia="Arial" w:hAnsi="Arial"/>
            <w:color w:val="0000ee"/>
            <w:sz w:val="24"/>
            <w:szCs w:val="24"/>
            <w:u w:val="single"/>
            <w:rtl w:val="0"/>
          </w:rPr>
          <w:t xml:space="preserve">https://www.sifma.org/wp-content/uploads/2020/05/SIFMA-Primary-Dealer-Fact-Sheet.pdf</w:t>
        </w:r>
      </w:hyperlink>
      <w:r w:rsidDel="00000000" w:rsidR="00000000" w:rsidRPr="00000000">
        <w:rPr>
          <w:rtl w:val="0"/>
        </w:rPr>
      </w:r>
    </w:p>
    <w:p w:rsidR="00000000" w:rsidDel="00000000" w:rsidP="00000000" w:rsidRDefault="00000000" w:rsidRPr="00000000" w14:paraId="0000016A">
      <w:pPr>
        <w:numPr>
          <w:ilvl w:val="0"/>
          <w:numId w:val="16"/>
        </w:numPr>
        <w:ind w:left="600" w:hanging="360"/>
        <w:rPr/>
      </w:pPr>
      <w:r w:rsidDel="00000000" w:rsidR="00000000" w:rsidRPr="00000000">
        <w:rPr>
          <w:rFonts w:ascii="Arial" w:cs="Arial" w:eastAsia="Arial" w:hAnsi="Arial"/>
          <w:sz w:val="24"/>
          <w:szCs w:val="24"/>
          <w:rtl w:val="0"/>
        </w:rPr>
        <w:t xml:space="preserve">The Fed - What Happened in Money Markets in September 2019?, accessed July 30, 2025, </w:t>
      </w:r>
      <w:hyperlink r:id="rId31">
        <w:r w:rsidDel="00000000" w:rsidR="00000000" w:rsidRPr="00000000">
          <w:rPr>
            <w:rFonts w:ascii="Arial" w:cs="Arial" w:eastAsia="Arial" w:hAnsi="Arial"/>
            <w:color w:val="0000ee"/>
            <w:sz w:val="24"/>
            <w:szCs w:val="24"/>
            <w:u w:val="single"/>
            <w:rtl w:val="0"/>
          </w:rPr>
          <w:t xml:space="preserve">https://www.federalreserve.gov/econres/notes/feds-notes/what-Happened-in-Money-Markets-in-September-2019-20200227.htm</w:t>
        </w:r>
      </w:hyperlink>
      <w:r w:rsidDel="00000000" w:rsidR="00000000" w:rsidRPr="00000000">
        <w:rPr>
          <w:rtl w:val="0"/>
        </w:rPr>
      </w:r>
    </w:p>
    <w:p w:rsidR="00000000" w:rsidDel="00000000" w:rsidP="00000000" w:rsidRDefault="00000000" w:rsidRPr="00000000" w14:paraId="0000016B">
      <w:pPr>
        <w:numPr>
          <w:ilvl w:val="0"/>
          <w:numId w:val="16"/>
        </w:numPr>
        <w:ind w:left="600" w:hanging="360"/>
        <w:rPr/>
      </w:pPr>
      <w:r w:rsidDel="00000000" w:rsidR="00000000" w:rsidRPr="00000000">
        <w:rPr>
          <w:rFonts w:ascii="Arial" w:cs="Arial" w:eastAsia="Arial" w:hAnsi="Arial"/>
          <w:sz w:val="24"/>
          <w:szCs w:val="24"/>
          <w:rtl w:val="0"/>
        </w:rPr>
        <w:t xml:space="preserve">Understanding repurchase agreements | Fidelity Institutional, accessed July 30, 2025, </w:t>
      </w:r>
      <w:hyperlink r:id="rId32">
        <w:r w:rsidDel="00000000" w:rsidR="00000000" w:rsidRPr="00000000">
          <w:rPr>
            <w:rFonts w:ascii="Arial" w:cs="Arial" w:eastAsia="Arial" w:hAnsi="Arial"/>
            <w:color w:val="0000ee"/>
            <w:sz w:val="24"/>
            <w:szCs w:val="24"/>
            <w:u w:val="single"/>
            <w:rtl w:val="0"/>
          </w:rPr>
          <w:t xml:space="preserve">https://institutional.fidelity.com/advisors/insights/topics/investing-ideas/understanding-repurchase-agreements</w:t>
        </w:r>
      </w:hyperlink>
      <w:r w:rsidDel="00000000" w:rsidR="00000000" w:rsidRPr="00000000">
        <w:rPr>
          <w:rtl w:val="0"/>
        </w:rPr>
      </w:r>
    </w:p>
    <w:p w:rsidR="00000000" w:rsidDel="00000000" w:rsidP="00000000" w:rsidRDefault="00000000" w:rsidRPr="00000000" w14:paraId="0000016C">
      <w:pPr>
        <w:numPr>
          <w:ilvl w:val="0"/>
          <w:numId w:val="16"/>
        </w:numPr>
        <w:ind w:left="600" w:hanging="360"/>
        <w:rPr/>
      </w:pPr>
      <w:r w:rsidDel="00000000" w:rsidR="00000000" w:rsidRPr="00000000">
        <w:rPr>
          <w:rFonts w:ascii="Arial" w:cs="Arial" w:eastAsia="Arial" w:hAnsi="Arial"/>
          <w:sz w:val="24"/>
          <w:szCs w:val="24"/>
          <w:rtl w:val="0"/>
        </w:rPr>
        <w:t xml:space="preserve">BlackRock Cash Management | Understanding Repurchase Agreements, accessed July 30, 2025, </w:t>
      </w:r>
      <w:hyperlink r:id="rId33">
        <w:r w:rsidDel="00000000" w:rsidR="00000000" w:rsidRPr="00000000">
          <w:rPr>
            <w:rFonts w:ascii="Arial" w:cs="Arial" w:eastAsia="Arial" w:hAnsi="Arial"/>
            <w:color w:val="0000ee"/>
            <w:sz w:val="24"/>
            <w:szCs w:val="24"/>
            <w:u w:val="single"/>
            <w:rtl w:val="0"/>
          </w:rPr>
          <w:t xml:space="preserve">https://www.blackrock.com/cash/en-us/insight-and-education/understanding-repurchase-agreements</w:t>
        </w:r>
      </w:hyperlink>
      <w:r w:rsidDel="00000000" w:rsidR="00000000" w:rsidRPr="00000000">
        <w:rPr>
          <w:rtl w:val="0"/>
        </w:rPr>
      </w:r>
    </w:p>
    <w:p w:rsidR="00000000" w:rsidDel="00000000" w:rsidP="00000000" w:rsidRDefault="00000000" w:rsidRPr="00000000" w14:paraId="0000016D">
      <w:pPr>
        <w:numPr>
          <w:ilvl w:val="0"/>
          <w:numId w:val="16"/>
        </w:numPr>
        <w:ind w:left="600" w:hanging="360"/>
        <w:rPr/>
      </w:pPr>
      <w:r w:rsidDel="00000000" w:rsidR="00000000" w:rsidRPr="00000000">
        <w:rPr>
          <w:rFonts w:ascii="Arial" w:cs="Arial" w:eastAsia="Arial" w:hAnsi="Arial"/>
          <w:sz w:val="24"/>
          <w:szCs w:val="24"/>
          <w:rtl w:val="0"/>
        </w:rPr>
        <w:t xml:space="preserve">Oversight of financial market infrastructures - Central Bank of Iceland, accessed July 30, 2025, </w:t>
      </w:r>
      <w:hyperlink r:id="rId34">
        <w:r w:rsidDel="00000000" w:rsidR="00000000" w:rsidRPr="00000000">
          <w:rPr>
            <w:rFonts w:ascii="Arial" w:cs="Arial" w:eastAsia="Arial" w:hAnsi="Arial"/>
            <w:color w:val="0000ee"/>
            <w:sz w:val="24"/>
            <w:szCs w:val="24"/>
            <w:u w:val="single"/>
            <w:rtl w:val="0"/>
          </w:rPr>
          <w:t xml:space="preserve">https://cb.is/payments/oversight-of-financial-market-infrastructures/</w:t>
        </w:r>
      </w:hyperlink>
      <w:r w:rsidDel="00000000" w:rsidR="00000000" w:rsidRPr="00000000">
        <w:rPr>
          <w:rtl w:val="0"/>
        </w:rPr>
      </w:r>
    </w:p>
    <w:p w:rsidR="00000000" w:rsidDel="00000000" w:rsidP="00000000" w:rsidRDefault="00000000" w:rsidRPr="00000000" w14:paraId="0000016E">
      <w:pPr>
        <w:numPr>
          <w:ilvl w:val="0"/>
          <w:numId w:val="16"/>
        </w:numPr>
        <w:ind w:left="600" w:hanging="360"/>
        <w:rPr/>
      </w:pPr>
      <w:r w:rsidDel="00000000" w:rsidR="00000000" w:rsidRPr="00000000">
        <w:rPr>
          <w:rFonts w:ascii="Arial" w:cs="Arial" w:eastAsia="Arial" w:hAnsi="Arial"/>
          <w:sz w:val="24"/>
          <w:szCs w:val="24"/>
          <w:rtl w:val="0"/>
        </w:rPr>
        <w:t xml:space="preserve">Overnight Bank Funding Rate | FRED | St. Louis Fed, accessed July 30, 2025, </w:t>
      </w:r>
      <w:hyperlink r:id="rId35">
        <w:r w:rsidDel="00000000" w:rsidR="00000000" w:rsidRPr="00000000">
          <w:rPr>
            <w:rFonts w:ascii="Arial" w:cs="Arial" w:eastAsia="Arial" w:hAnsi="Arial"/>
            <w:color w:val="0000ee"/>
            <w:sz w:val="24"/>
            <w:szCs w:val="24"/>
            <w:u w:val="single"/>
            <w:rtl w:val="0"/>
          </w:rPr>
          <w:t xml:space="preserve">https://fred.stlouisfed.org/graph/?g=kDAE</w:t>
        </w:r>
      </w:hyperlink>
      <w:r w:rsidDel="00000000" w:rsidR="00000000" w:rsidRPr="00000000">
        <w:rPr>
          <w:rtl w:val="0"/>
        </w:rPr>
      </w:r>
    </w:p>
    <w:p w:rsidR="00000000" w:rsidDel="00000000" w:rsidP="00000000" w:rsidRDefault="00000000" w:rsidRPr="00000000" w14:paraId="0000016F">
      <w:pPr>
        <w:numPr>
          <w:ilvl w:val="0"/>
          <w:numId w:val="16"/>
        </w:numPr>
        <w:ind w:left="600" w:hanging="360"/>
        <w:rPr/>
      </w:pPr>
      <w:r w:rsidDel="00000000" w:rsidR="00000000" w:rsidRPr="00000000">
        <w:rPr>
          <w:rFonts w:ascii="Arial" w:cs="Arial" w:eastAsia="Arial" w:hAnsi="Arial"/>
          <w:sz w:val="24"/>
          <w:szCs w:val="24"/>
          <w:rtl w:val="0"/>
        </w:rPr>
        <w:t xml:space="preserve">en.wikipedia.org, accessed July 30, 2025, </w:t>
      </w:r>
      <w:hyperlink r:id="rId36">
        <w:r w:rsidDel="00000000" w:rsidR="00000000" w:rsidRPr="00000000">
          <w:rPr>
            <w:rFonts w:ascii="Arial" w:cs="Arial" w:eastAsia="Arial" w:hAnsi="Arial"/>
            <w:color w:val="0000ee"/>
            <w:sz w:val="24"/>
            <w:szCs w:val="24"/>
            <w:u w:val="single"/>
            <w:rtl w:val="0"/>
          </w:rPr>
          <w:t xml:space="preserve">https://en.wikipedia.org/wiki/SOFR</w:t>
        </w:r>
      </w:hyperlink>
      <w:r w:rsidDel="00000000" w:rsidR="00000000" w:rsidRPr="00000000">
        <w:rPr>
          <w:rtl w:val="0"/>
        </w:rPr>
      </w:r>
    </w:p>
    <w:p w:rsidR="00000000" w:rsidDel="00000000" w:rsidP="00000000" w:rsidRDefault="00000000" w:rsidRPr="00000000" w14:paraId="00000170">
      <w:pPr>
        <w:numPr>
          <w:ilvl w:val="0"/>
          <w:numId w:val="16"/>
        </w:numPr>
        <w:ind w:left="600" w:hanging="360"/>
        <w:rPr/>
      </w:pPr>
      <w:r w:rsidDel="00000000" w:rsidR="00000000" w:rsidRPr="00000000">
        <w:rPr>
          <w:rFonts w:ascii="Arial" w:cs="Arial" w:eastAsia="Arial" w:hAnsi="Arial"/>
          <w:sz w:val="24"/>
          <w:szCs w:val="24"/>
          <w:rtl w:val="0"/>
        </w:rPr>
        <w:t xml:space="preserve">Secured Overnight Financing Rate (SOFR) - FRED - Federal Reserve Bank of St. Louis, accessed July 30, 2025, </w:t>
      </w:r>
      <w:hyperlink r:id="rId37">
        <w:r w:rsidDel="00000000" w:rsidR="00000000" w:rsidRPr="00000000">
          <w:rPr>
            <w:rFonts w:ascii="Arial" w:cs="Arial" w:eastAsia="Arial" w:hAnsi="Arial"/>
            <w:color w:val="0000ee"/>
            <w:sz w:val="24"/>
            <w:szCs w:val="24"/>
            <w:u w:val="single"/>
            <w:rtl w:val="0"/>
          </w:rPr>
          <w:t xml:space="preserve">https://fred.stlouisfed.org/series/SOFR</w:t>
        </w:r>
      </w:hyperlink>
      <w:r w:rsidDel="00000000" w:rsidR="00000000" w:rsidRPr="00000000">
        <w:rPr>
          <w:rtl w:val="0"/>
        </w:rPr>
      </w:r>
    </w:p>
    <w:p w:rsidR="00000000" w:rsidDel="00000000" w:rsidP="00000000" w:rsidRDefault="00000000" w:rsidRPr="00000000" w14:paraId="00000171">
      <w:pPr>
        <w:numPr>
          <w:ilvl w:val="0"/>
          <w:numId w:val="16"/>
        </w:numPr>
        <w:ind w:left="600" w:hanging="360"/>
        <w:rPr/>
      </w:pPr>
      <w:r w:rsidDel="00000000" w:rsidR="00000000" w:rsidRPr="00000000">
        <w:rPr>
          <w:rFonts w:ascii="Arial" w:cs="Arial" w:eastAsia="Arial" w:hAnsi="Arial"/>
          <w:sz w:val="24"/>
          <w:szCs w:val="24"/>
          <w:rtl w:val="0"/>
        </w:rPr>
        <w:t xml:space="preserve">Secured Overnight Financing Rate: 75th Percentile (SOFR75) | FRED | St. Louis Fed, accessed July 30, 2025, </w:t>
      </w:r>
      <w:hyperlink r:id="rId38">
        <w:r w:rsidDel="00000000" w:rsidR="00000000" w:rsidRPr="00000000">
          <w:rPr>
            <w:rFonts w:ascii="Arial" w:cs="Arial" w:eastAsia="Arial" w:hAnsi="Arial"/>
            <w:color w:val="0000ee"/>
            <w:sz w:val="24"/>
            <w:szCs w:val="24"/>
            <w:u w:val="single"/>
            <w:rtl w:val="0"/>
          </w:rPr>
          <w:t xml:space="preserve">https://fred.stlouisfed.org/series/SOFR75</w:t>
        </w:r>
      </w:hyperlink>
      <w:r w:rsidDel="00000000" w:rsidR="00000000" w:rsidRPr="00000000">
        <w:rPr>
          <w:rtl w:val="0"/>
        </w:rPr>
      </w:r>
    </w:p>
    <w:p w:rsidR="00000000" w:rsidDel="00000000" w:rsidP="00000000" w:rsidRDefault="00000000" w:rsidRPr="00000000" w14:paraId="00000172">
      <w:pPr>
        <w:numPr>
          <w:ilvl w:val="0"/>
          <w:numId w:val="16"/>
        </w:numPr>
        <w:ind w:left="600" w:hanging="360"/>
        <w:rPr/>
      </w:pPr>
      <w:r w:rsidDel="00000000" w:rsidR="00000000" w:rsidRPr="00000000">
        <w:rPr>
          <w:rFonts w:ascii="Arial" w:cs="Arial" w:eastAsia="Arial" w:hAnsi="Arial"/>
          <w:sz w:val="24"/>
          <w:szCs w:val="24"/>
          <w:rtl w:val="0"/>
        </w:rPr>
        <w:t xml:space="preserve">SOFR Index | FRED | St. Louis Fed, accessed July 30, 2025, </w:t>
      </w:r>
      <w:hyperlink r:id="rId39">
        <w:r w:rsidDel="00000000" w:rsidR="00000000" w:rsidRPr="00000000">
          <w:rPr>
            <w:rFonts w:ascii="Arial" w:cs="Arial" w:eastAsia="Arial" w:hAnsi="Arial"/>
            <w:color w:val="0000ee"/>
            <w:sz w:val="24"/>
            <w:szCs w:val="24"/>
            <w:u w:val="single"/>
            <w:rtl w:val="0"/>
          </w:rPr>
          <w:t xml:space="preserve">https://fred.stlouisfed.org/graph/?g=C8CA</w:t>
        </w:r>
      </w:hyperlink>
      <w:r w:rsidDel="00000000" w:rsidR="00000000" w:rsidRPr="00000000">
        <w:rPr>
          <w:rtl w:val="0"/>
        </w:rPr>
      </w:r>
    </w:p>
    <w:p w:rsidR="00000000" w:rsidDel="00000000" w:rsidP="00000000" w:rsidRDefault="00000000" w:rsidRPr="00000000" w14:paraId="00000173">
      <w:pPr>
        <w:numPr>
          <w:ilvl w:val="0"/>
          <w:numId w:val="16"/>
        </w:numPr>
        <w:ind w:left="600" w:hanging="360"/>
        <w:rPr/>
      </w:pPr>
      <w:r w:rsidDel="00000000" w:rsidR="00000000" w:rsidRPr="00000000">
        <w:rPr>
          <w:rFonts w:ascii="Arial" w:cs="Arial" w:eastAsia="Arial" w:hAnsi="Arial"/>
          <w:sz w:val="24"/>
          <w:szCs w:val="24"/>
          <w:rtl w:val="0"/>
        </w:rPr>
        <w:t xml:space="preserve">SOFR Averages and Index Data | FRED | St. Louis Fed, accessed July 30, 2025, </w:t>
      </w:r>
      <w:hyperlink r:id="rId40">
        <w:r w:rsidDel="00000000" w:rsidR="00000000" w:rsidRPr="00000000">
          <w:rPr>
            <w:rFonts w:ascii="Arial" w:cs="Arial" w:eastAsia="Arial" w:hAnsi="Arial"/>
            <w:color w:val="0000ee"/>
            <w:sz w:val="24"/>
            <w:szCs w:val="24"/>
            <w:u w:val="single"/>
            <w:rtl w:val="0"/>
          </w:rPr>
          <w:t xml:space="preserve">https://fred.stlouisfed.org/release?rid=483</w:t>
        </w:r>
      </w:hyperlink>
      <w:r w:rsidDel="00000000" w:rsidR="00000000" w:rsidRPr="00000000">
        <w:rPr>
          <w:rtl w:val="0"/>
        </w:rPr>
      </w:r>
    </w:p>
    <w:p w:rsidR="00000000" w:rsidDel="00000000" w:rsidP="00000000" w:rsidRDefault="00000000" w:rsidRPr="00000000" w14:paraId="00000174">
      <w:pPr>
        <w:numPr>
          <w:ilvl w:val="0"/>
          <w:numId w:val="16"/>
        </w:numPr>
        <w:ind w:left="600" w:hanging="360"/>
        <w:rPr/>
      </w:pPr>
      <w:r w:rsidDel="00000000" w:rsidR="00000000" w:rsidRPr="00000000">
        <w:rPr>
          <w:rFonts w:ascii="Arial" w:cs="Arial" w:eastAsia="Arial" w:hAnsi="Arial"/>
          <w:sz w:val="24"/>
          <w:szCs w:val="24"/>
          <w:rtl w:val="0"/>
        </w:rPr>
        <w:t xml:space="preserve">Secured Overnight Financing Rate-Overnight Reverse Repurchase Agreements Award Rate: Treasury Securities Sold by the Federal Reserve in the Temporary Open Market Operations | FRED | St. Louis Fed, accessed July 30, 2025, </w:t>
      </w:r>
      <w:hyperlink r:id="rId41">
        <w:r w:rsidDel="00000000" w:rsidR="00000000" w:rsidRPr="00000000">
          <w:rPr>
            <w:rFonts w:ascii="Arial" w:cs="Arial" w:eastAsia="Arial" w:hAnsi="Arial"/>
            <w:color w:val="0000ee"/>
            <w:sz w:val="24"/>
            <w:szCs w:val="24"/>
            <w:u w:val="single"/>
            <w:rtl w:val="0"/>
          </w:rPr>
          <w:t xml:space="preserve">https://fred.stlouisfed.org/graph/?g=1dGWU</w:t>
        </w:r>
      </w:hyperlink>
      <w:r w:rsidDel="00000000" w:rsidR="00000000" w:rsidRPr="00000000">
        <w:rPr>
          <w:rtl w:val="0"/>
        </w:rPr>
      </w:r>
    </w:p>
    <w:p w:rsidR="00000000" w:rsidDel="00000000" w:rsidP="00000000" w:rsidRDefault="00000000" w:rsidRPr="00000000" w14:paraId="00000175">
      <w:pPr>
        <w:numPr>
          <w:ilvl w:val="0"/>
          <w:numId w:val="16"/>
        </w:numPr>
        <w:ind w:left="600" w:hanging="360"/>
        <w:rPr/>
      </w:pPr>
      <w:r w:rsidDel="00000000" w:rsidR="00000000" w:rsidRPr="00000000">
        <w:rPr>
          <w:rFonts w:ascii="Arial" w:cs="Arial" w:eastAsia="Arial" w:hAnsi="Arial"/>
          <w:sz w:val="24"/>
          <w:szCs w:val="24"/>
          <w:rtl w:val="0"/>
        </w:rPr>
        <w:t xml:space="preserve">Reverse Repos - Economic Data Series | FRED | St. Louis Fed, accessed July 30, 2025, </w:t>
      </w:r>
      <w:hyperlink r:id="rId42">
        <w:r w:rsidDel="00000000" w:rsidR="00000000" w:rsidRPr="00000000">
          <w:rPr>
            <w:rFonts w:ascii="Arial" w:cs="Arial" w:eastAsia="Arial" w:hAnsi="Arial"/>
            <w:color w:val="0000ee"/>
            <w:sz w:val="24"/>
            <w:szCs w:val="24"/>
            <w:u w:val="single"/>
            <w:rtl w:val="0"/>
          </w:rPr>
          <w:t xml:space="preserve">https://fred.stlouisfed.org/tags/series?t=reverse+repos</w:t>
        </w:r>
      </w:hyperlink>
      <w:r w:rsidDel="00000000" w:rsidR="00000000" w:rsidRPr="00000000">
        <w:rPr>
          <w:rtl w:val="0"/>
        </w:rPr>
      </w:r>
    </w:p>
    <w:p w:rsidR="00000000" w:rsidDel="00000000" w:rsidP="00000000" w:rsidRDefault="00000000" w:rsidRPr="00000000" w14:paraId="00000176">
      <w:pPr>
        <w:numPr>
          <w:ilvl w:val="0"/>
          <w:numId w:val="16"/>
        </w:numPr>
        <w:ind w:left="600" w:hanging="360"/>
        <w:rPr/>
      </w:pPr>
      <w:r w:rsidDel="00000000" w:rsidR="00000000" w:rsidRPr="00000000">
        <w:rPr>
          <w:rFonts w:ascii="Arial" w:cs="Arial" w:eastAsia="Arial" w:hAnsi="Arial"/>
          <w:sz w:val="24"/>
          <w:szCs w:val="24"/>
          <w:rtl w:val="0"/>
        </w:rPr>
        <w:t xml:space="preserve">Overnight Bank Funding Rate - FEDERAL RESERVE BANK of NEW YORK, accessed July 30, 2025, </w:t>
      </w:r>
      <w:hyperlink r:id="rId43">
        <w:r w:rsidDel="00000000" w:rsidR="00000000" w:rsidRPr="00000000">
          <w:rPr>
            <w:rFonts w:ascii="Arial" w:cs="Arial" w:eastAsia="Arial" w:hAnsi="Arial"/>
            <w:color w:val="0000ee"/>
            <w:sz w:val="24"/>
            <w:szCs w:val="24"/>
            <w:u w:val="single"/>
            <w:rtl w:val="0"/>
          </w:rPr>
          <w:t xml:space="preserve">https://www.newyorkfed.org/markets/reference-rates/obfr</w:t>
        </w:r>
      </w:hyperlink>
      <w:r w:rsidDel="00000000" w:rsidR="00000000" w:rsidRPr="00000000">
        <w:rPr>
          <w:rtl w:val="0"/>
        </w:rPr>
      </w:r>
    </w:p>
    <w:p w:rsidR="00000000" w:rsidDel="00000000" w:rsidP="00000000" w:rsidRDefault="00000000" w:rsidRPr="00000000" w14:paraId="00000177">
      <w:pPr>
        <w:numPr>
          <w:ilvl w:val="0"/>
          <w:numId w:val="16"/>
        </w:numPr>
        <w:ind w:left="600" w:hanging="360"/>
        <w:rPr/>
      </w:pPr>
      <w:r w:rsidDel="00000000" w:rsidR="00000000" w:rsidRPr="00000000">
        <w:rPr>
          <w:rFonts w:ascii="Arial" w:cs="Arial" w:eastAsia="Arial" w:hAnsi="Arial"/>
          <w:sz w:val="24"/>
          <w:szCs w:val="24"/>
          <w:rtl w:val="0"/>
        </w:rPr>
        <w:t xml:space="preserve">Overnight Bank Funding Rate | FRED | St. Louis Fed, accessed July 30, 2025, </w:t>
      </w:r>
      <w:hyperlink r:id="rId44">
        <w:r w:rsidDel="00000000" w:rsidR="00000000" w:rsidRPr="00000000">
          <w:rPr>
            <w:rFonts w:ascii="Arial" w:cs="Arial" w:eastAsia="Arial" w:hAnsi="Arial"/>
            <w:color w:val="0000ee"/>
            <w:sz w:val="24"/>
            <w:szCs w:val="24"/>
            <w:u w:val="single"/>
            <w:rtl w:val="0"/>
          </w:rPr>
          <w:t xml:space="preserve">https://fred.stlouisfed.org/graph/?g=3FBA</w:t>
        </w:r>
      </w:hyperlink>
      <w:r w:rsidDel="00000000" w:rsidR="00000000" w:rsidRPr="00000000">
        <w:rPr>
          <w:rtl w:val="0"/>
        </w:rPr>
      </w:r>
    </w:p>
    <w:p w:rsidR="00000000" w:rsidDel="00000000" w:rsidP="00000000" w:rsidRDefault="00000000" w:rsidRPr="00000000" w14:paraId="00000178">
      <w:pPr>
        <w:numPr>
          <w:ilvl w:val="0"/>
          <w:numId w:val="16"/>
        </w:numPr>
        <w:ind w:left="600" w:hanging="360"/>
        <w:rPr/>
      </w:pPr>
      <w:r w:rsidDel="00000000" w:rsidR="00000000" w:rsidRPr="00000000">
        <w:rPr>
          <w:rFonts w:ascii="Arial" w:cs="Arial" w:eastAsia="Arial" w:hAnsi="Arial"/>
          <w:sz w:val="24"/>
          <w:szCs w:val="24"/>
          <w:rtl w:val="0"/>
        </w:rPr>
        <w:t xml:space="preserve">US Repo Statistics - SIFMA - Securities Industry and Financial ..., accessed July 30, 2025, </w:t>
      </w:r>
      <w:hyperlink r:id="rId45">
        <w:r w:rsidDel="00000000" w:rsidR="00000000" w:rsidRPr="00000000">
          <w:rPr>
            <w:rFonts w:ascii="Arial" w:cs="Arial" w:eastAsia="Arial" w:hAnsi="Arial"/>
            <w:color w:val="0000ee"/>
            <w:sz w:val="24"/>
            <w:szCs w:val="24"/>
            <w:u w:val="single"/>
            <w:rtl w:val="0"/>
          </w:rPr>
          <w:t xml:space="preserve">https://www.sifma.org/resources/research/statistics/us-repo-statistics/</w:t>
        </w:r>
      </w:hyperlink>
      <w:r w:rsidDel="00000000" w:rsidR="00000000" w:rsidRPr="00000000">
        <w:rPr>
          <w:rtl w:val="0"/>
        </w:rPr>
      </w:r>
    </w:p>
    <w:p w:rsidR="00000000" w:rsidDel="00000000" w:rsidP="00000000" w:rsidRDefault="00000000" w:rsidRPr="00000000" w14:paraId="00000179">
      <w:pPr>
        <w:numPr>
          <w:ilvl w:val="0"/>
          <w:numId w:val="16"/>
        </w:numPr>
        <w:ind w:left="600" w:hanging="360"/>
        <w:rPr/>
      </w:pPr>
      <w:r w:rsidDel="00000000" w:rsidR="00000000" w:rsidRPr="00000000">
        <w:rPr>
          <w:rFonts w:ascii="Arial" w:cs="Arial" w:eastAsia="Arial" w:hAnsi="Arial"/>
          <w:sz w:val="24"/>
          <w:szCs w:val="24"/>
          <w:rtl w:val="0"/>
        </w:rPr>
        <w:t xml:space="preserve">ficc – gsd - dtcc gcf repo index® fact sheet, accessed July 30, 2025, </w:t>
      </w:r>
      <w:hyperlink r:id="rId46">
        <w:r w:rsidDel="00000000" w:rsidR="00000000" w:rsidRPr="00000000">
          <w:rPr>
            <w:rFonts w:ascii="Arial" w:cs="Arial" w:eastAsia="Arial" w:hAnsi="Arial"/>
            <w:color w:val="0000ee"/>
            <w:sz w:val="24"/>
            <w:szCs w:val="24"/>
            <w:u w:val="single"/>
            <w:rtl w:val="0"/>
          </w:rPr>
          <w:t xml:space="preserve">https://dtcclearning.com/documents/fixed-income-clearing-1/gsd/gcf-repo-service-2/gcf-repo-index/1960-gcf-repo-index-fact-sheet.html</w:t>
        </w:r>
      </w:hyperlink>
      <w:r w:rsidDel="00000000" w:rsidR="00000000" w:rsidRPr="00000000">
        <w:rPr>
          <w:rtl w:val="0"/>
        </w:rPr>
      </w:r>
    </w:p>
    <w:p w:rsidR="00000000" w:rsidDel="00000000" w:rsidP="00000000" w:rsidRDefault="00000000" w:rsidRPr="00000000" w14:paraId="0000017A">
      <w:pPr>
        <w:numPr>
          <w:ilvl w:val="0"/>
          <w:numId w:val="16"/>
        </w:numPr>
        <w:ind w:left="600" w:hanging="360"/>
        <w:rPr/>
      </w:pPr>
      <w:r w:rsidDel="00000000" w:rsidR="00000000" w:rsidRPr="00000000">
        <w:rPr>
          <w:rFonts w:ascii="Arial" w:cs="Arial" w:eastAsia="Arial" w:hAnsi="Arial"/>
          <w:sz w:val="24"/>
          <w:szCs w:val="24"/>
          <w:rtl w:val="0"/>
        </w:rPr>
        <w:t xml:space="preserve">Understanding STIR Futures - CME Group, accessed July 30, 2025, </w:t>
      </w:r>
      <w:hyperlink r:id="rId47">
        <w:r w:rsidDel="00000000" w:rsidR="00000000" w:rsidRPr="00000000">
          <w:rPr>
            <w:rFonts w:ascii="Arial" w:cs="Arial" w:eastAsia="Arial" w:hAnsi="Arial"/>
            <w:color w:val="0000ee"/>
            <w:sz w:val="24"/>
            <w:szCs w:val="24"/>
            <w:u w:val="single"/>
            <w:rtl w:val="0"/>
          </w:rPr>
          <w:t xml:space="preserve">https://www.cmegroup.com/education/courses/understanding-stir-futures.html</w:t>
        </w:r>
      </w:hyperlink>
      <w:r w:rsidDel="00000000" w:rsidR="00000000" w:rsidRPr="00000000">
        <w:rPr>
          <w:rtl w:val="0"/>
        </w:rPr>
      </w:r>
    </w:p>
    <w:p w:rsidR="00000000" w:rsidDel="00000000" w:rsidP="00000000" w:rsidRDefault="00000000" w:rsidRPr="00000000" w14:paraId="0000017B">
      <w:pPr>
        <w:numPr>
          <w:ilvl w:val="0"/>
          <w:numId w:val="16"/>
        </w:numPr>
        <w:ind w:left="600" w:hanging="360"/>
        <w:rPr/>
      </w:pPr>
      <w:r w:rsidDel="00000000" w:rsidR="00000000" w:rsidRPr="00000000">
        <w:rPr>
          <w:rFonts w:ascii="Arial" w:cs="Arial" w:eastAsia="Arial" w:hAnsi="Arial"/>
          <w:sz w:val="24"/>
          <w:szCs w:val="24"/>
          <w:rtl w:val="0"/>
        </w:rPr>
        <w:t xml:space="preserve">Short-Term Interest Rate (STIR) Futures: How Do They Work? - HighStrike, accessed July 30, 2025, </w:t>
      </w:r>
      <w:hyperlink r:id="rId48">
        <w:r w:rsidDel="00000000" w:rsidR="00000000" w:rsidRPr="00000000">
          <w:rPr>
            <w:rFonts w:ascii="Arial" w:cs="Arial" w:eastAsia="Arial" w:hAnsi="Arial"/>
            <w:color w:val="0000ee"/>
            <w:sz w:val="24"/>
            <w:szCs w:val="24"/>
            <w:u w:val="single"/>
            <w:rtl w:val="0"/>
          </w:rPr>
          <w:t xml:space="preserve">https://highstrike.com/stir-futures/</w:t>
        </w:r>
      </w:hyperlink>
      <w:r w:rsidDel="00000000" w:rsidR="00000000" w:rsidRPr="00000000">
        <w:rPr>
          <w:rtl w:val="0"/>
        </w:rPr>
      </w:r>
    </w:p>
    <w:p w:rsidR="00000000" w:rsidDel="00000000" w:rsidP="00000000" w:rsidRDefault="00000000" w:rsidRPr="00000000" w14:paraId="0000017C">
      <w:pPr>
        <w:numPr>
          <w:ilvl w:val="0"/>
          <w:numId w:val="16"/>
        </w:numPr>
        <w:ind w:left="600" w:hanging="360"/>
        <w:rPr/>
      </w:pPr>
      <w:r w:rsidDel="00000000" w:rsidR="00000000" w:rsidRPr="00000000">
        <w:rPr>
          <w:rFonts w:ascii="Arial" w:cs="Arial" w:eastAsia="Arial" w:hAnsi="Arial"/>
          <w:sz w:val="24"/>
          <w:szCs w:val="24"/>
          <w:rtl w:val="0"/>
        </w:rPr>
        <w:t xml:space="preserve">The Market Events of Mid-September 2019 - Federal Reserve Bank ..., accessed July 30, 2025, </w:t>
      </w:r>
      <w:hyperlink r:id="rId49">
        <w:r w:rsidDel="00000000" w:rsidR="00000000" w:rsidRPr="00000000">
          <w:rPr>
            <w:rFonts w:ascii="Arial" w:cs="Arial" w:eastAsia="Arial" w:hAnsi="Arial"/>
            <w:color w:val="0000ee"/>
            <w:sz w:val="24"/>
            <w:szCs w:val="24"/>
            <w:u w:val="single"/>
            <w:rtl w:val="0"/>
          </w:rPr>
          <w:t xml:space="preserve">https://www.newyorkfed.org/medialibrary/media/research/epr/2021/epr_2021_market-events_afonso.pdf</w:t>
        </w:r>
      </w:hyperlink>
      <w:r w:rsidDel="00000000" w:rsidR="00000000" w:rsidRPr="00000000">
        <w:rPr>
          <w:rtl w:val="0"/>
        </w:rPr>
      </w:r>
    </w:p>
    <w:p w:rsidR="00000000" w:rsidDel="00000000" w:rsidP="00000000" w:rsidRDefault="00000000" w:rsidRPr="00000000" w14:paraId="0000017D">
      <w:pPr>
        <w:numPr>
          <w:ilvl w:val="0"/>
          <w:numId w:val="16"/>
        </w:numPr>
        <w:ind w:left="600" w:hanging="360"/>
        <w:rPr/>
      </w:pPr>
      <w:r w:rsidDel="00000000" w:rsidR="00000000" w:rsidRPr="00000000">
        <w:rPr>
          <w:rFonts w:ascii="Arial" w:cs="Arial" w:eastAsia="Arial" w:hAnsi="Arial"/>
          <w:sz w:val="24"/>
          <w:szCs w:val="24"/>
          <w:rtl w:val="0"/>
        </w:rPr>
        <w:t xml:space="preserve">September 2019 events in the U.S. repo market - Wikipedia, accessed July 30, 2025, </w:t>
      </w:r>
      <w:hyperlink r:id="rId50">
        <w:r w:rsidDel="00000000" w:rsidR="00000000" w:rsidRPr="00000000">
          <w:rPr>
            <w:rFonts w:ascii="Arial" w:cs="Arial" w:eastAsia="Arial" w:hAnsi="Arial"/>
            <w:color w:val="0000ee"/>
            <w:sz w:val="24"/>
            <w:szCs w:val="24"/>
            <w:u w:val="single"/>
            <w:rtl w:val="0"/>
          </w:rPr>
          <w:t xml:space="preserve">https://en.wikipedia.org/wiki/September_2019_events_in_the_U.S._repo_market</w:t>
        </w:r>
      </w:hyperlink>
      <w:r w:rsidDel="00000000" w:rsidR="00000000" w:rsidRPr="00000000">
        <w:rPr>
          <w:rtl w:val="0"/>
        </w:rPr>
      </w:r>
    </w:p>
    <w:p w:rsidR="00000000" w:rsidDel="00000000" w:rsidP="00000000" w:rsidRDefault="00000000" w:rsidRPr="00000000" w14:paraId="0000017E">
      <w:pPr>
        <w:numPr>
          <w:ilvl w:val="0"/>
          <w:numId w:val="16"/>
        </w:numPr>
        <w:ind w:left="600" w:hanging="360"/>
        <w:rPr/>
      </w:pPr>
      <w:r w:rsidDel="00000000" w:rsidR="00000000" w:rsidRPr="00000000">
        <w:rPr>
          <w:rFonts w:ascii="Arial" w:cs="Arial" w:eastAsia="Arial" w:hAnsi="Arial"/>
          <w:sz w:val="24"/>
          <w:szCs w:val="24"/>
          <w:rtl w:val="0"/>
        </w:rPr>
        <w:t xml:space="preserve">Financial markets: Systemic risks in plumbing? - SUERF - The European Money and Finance Forum, accessed July 30, 2025, </w:t>
      </w:r>
      <w:hyperlink r:id="rId51">
        <w:r w:rsidDel="00000000" w:rsidR="00000000" w:rsidRPr="00000000">
          <w:rPr>
            <w:rFonts w:ascii="Arial" w:cs="Arial" w:eastAsia="Arial" w:hAnsi="Arial"/>
            <w:color w:val="0000ee"/>
            <w:sz w:val="24"/>
            <w:szCs w:val="24"/>
            <w:u w:val="single"/>
            <w:rtl w:val="0"/>
          </w:rPr>
          <w:t xml:space="preserve">https://www.suerf.org/events/financial-markets-systemic-risks-in-plumbing/</w:t>
        </w:r>
      </w:hyperlink>
      <w:r w:rsidDel="00000000" w:rsidR="00000000" w:rsidRPr="00000000">
        <w:rPr>
          <w:rtl w:val="0"/>
        </w:rPr>
      </w:r>
    </w:p>
    <w:p w:rsidR="00000000" w:rsidDel="00000000" w:rsidP="00000000" w:rsidRDefault="00000000" w:rsidRPr="00000000" w14:paraId="0000017F">
      <w:pPr>
        <w:numPr>
          <w:ilvl w:val="0"/>
          <w:numId w:val="16"/>
        </w:numPr>
        <w:ind w:left="600" w:hanging="360"/>
        <w:rPr/>
      </w:pPr>
      <w:r w:rsidDel="00000000" w:rsidR="00000000" w:rsidRPr="00000000">
        <w:rPr>
          <w:rFonts w:ascii="Arial" w:cs="Arial" w:eastAsia="Arial" w:hAnsi="Arial"/>
          <w:sz w:val="24"/>
          <w:szCs w:val="24"/>
          <w:rtl w:val="0"/>
        </w:rPr>
        <w:t xml:space="preserve">Financial market impact of the COVID-19 pandemic - Wikipedia, accessed July 30, 2025, </w:t>
      </w:r>
      <w:hyperlink r:id="rId52">
        <w:r w:rsidDel="00000000" w:rsidR="00000000" w:rsidRPr="00000000">
          <w:rPr>
            <w:rFonts w:ascii="Arial" w:cs="Arial" w:eastAsia="Arial" w:hAnsi="Arial"/>
            <w:color w:val="0000ee"/>
            <w:sz w:val="24"/>
            <w:szCs w:val="24"/>
            <w:u w:val="single"/>
            <w:rtl w:val="0"/>
          </w:rPr>
          <w:t xml:space="preserve">https://en.wikipedia.org/wiki/Financial_market_impact_of_the_COVID-19_pandemic</w:t>
        </w:r>
      </w:hyperlink>
      <w:r w:rsidDel="00000000" w:rsidR="00000000" w:rsidRPr="00000000">
        <w:rPr>
          <w:rtl w:val="0"/>
        </w:rPr>
      </w:r>
    </w:p>
    <w:p w:rsidR="00000000" w:rsidDel="00000000" w:rsidP="00000000" w:rsidRDefault="00000000" w:rsidRPr="00000000" w14:paraId="00000180">
      <w:pPr>
        <w:numPr>
          <w:ilvl w:val="0"/>
          <w:numId w:val="16"/>
        </w:numPr>
        <w:ind w:left="600" w:hanging="360"/>
        <w:rPr/>
      </w:pPr>
      <w:r w:rsidDel="00000000" w:rsidR="00000000" w:rsidRPr="00000000">
        <w:rPr>
          <w:rFonts w:ascii="Arial" w:cs="Arial" w:eastAsia="Arial" w:hAnsi="Arial"/>
          <w:sz w:val="24"/>
          <w:szCs w:val="24"/>
          <w:rtl w:val="0"/>
        </w:rPr>
        <w:t xml:space="preserve">Zoltan Pozsar and Perry Mehrling On The Historic Crisis Of Financial Market Plumbing - Odd Lots - Omny.fm, accessed July 30, 2025, </w:t>
      </w:r>
      <w:hyperlink r:id="rId53">
        <w:r w:rsidDel="00000000" w:rsidR="00000000" w:rsidRPr="00000000">
          <w:rPr>
            <w:rFonts w:ascii="Arial" w:cs="Arial" w:eastAsia="Arial" w:hAnsi="Arial"/>
            <w:color w:val="0000ee"/>
            <w:sz w:val="24"/>
            <w:szCs w:val="24"/>
            <w:u w:val="single"/>
            <w:rtl w:val="0"/>
          </w:rPr>
          <w:t xml:space="preserve">https://omny.fm/shows/odd-lots/zoltan-pozsar-and-perry-mehrling-on-the-historic-c</w:t>
        </w:r>
      </w:hyperlink>
      <w:r w:rsidDel="00000000" w:rsidR="00000000" w:rsidRPr="00000000">
        <w:rPr>
          <w:rtl w:val="0"/>
        </w:rPr>
      </w:r>
    </w:p>
    <w:p w:rsidR="00000000" w:rsidDel="00000000" w:rsidP="00000000" w:rsidRDefault="00000000" w:rsidRPr="00000000" w14:paraId="00000181">
      <w:pPr>
        <w:numPr>
          <w:ilvl w:val="0"/>
          <w:numId w:val="16"/>
        </w:numPr>
        <w:ind w:left="600" w:hanging="360"/>
        <w:rPr/>
      </w:pPr>
      <w:r w:rsidDel="00000000" w:rsidR="00000000" w:rsidRPr="00000000">
        <w:rPr>
          <w:rFonts w:ascii="Arial" w:cs="Arial" w:eastAsia="Arial" w:hAnsi="Arial"/>
          <w:sz w:val="24"/>
          <w:szCs w:val="24"/>
          <w:rtl w:val="0"/>
        </w:rPr>
        <w:t xml:space="preserve">Balance Sheet, FRB - Economic Data Series | FRED | St. Louis Fed, accessed July 30, 2025, </w:t>
      </w:r>
      <w:hyperlink r:id="rId54">
        <w:r w:rsidDel="00000000" w:rsidR="00000000" w:rsidRPr="00000000">
          <w:rPr>
            <w:rFonts w:ascii="Arial" w:cs="Arial" w:eastAsia="Arial" w:hAnsi="Arial"/>
            <w:color w:val="0000ee"/>
            <w:sz w:val="24"/>
            <w:szCs w:val="24"/>
            <w:u w:val="single"/>
            <w:rtl w:val="0"/>
          </w:rPr>
          <w:t xml:space="preserve">https://fred.stlouisfed.org/tags/series?t=balance+sheet%3Bfrb</w:t>
        </w:r>
      </w:hyperlink>
      <w:r w:rsidDel="00000000" w:rsidR="00000000" w:rsidRPr="00000000">
        <w:rPr>
          <w:rtl w:val="0"/>
        </w:rPr>
      </w:r>
    </w:p>
    <w:p w:rsidR="00000000" w:rsidDel="00000000" w:rsidP="00000000" w:rsidRDefault="00000000" w:rsidRPr="00000000" w14:paraId="00000182">
      <w:pPr>
        <w:numPr>
          <w:ilvl w:val="0"/>
          <w:numId w:val="16"/>
        </w:numPr>
        <w:ind w:left="600" w:hanging="360"/>
        <w:rPr/>
      </w:pPr>
      <w:r w:rsidDel="00000000" w:rsidR="00000000" w:rsidRPr="00000000">
        <w:rPr>
          <w:rFonts w:ascii="Arial" w:cs="Arial" w:eastAsia="Arial" w:hAnsi="Arial"/>
          <w:sz w:val="24"/>
          <w:szCs w:val="24"/>
          <w:rtl w:val="0"/>
        </w:rPr>
        <w:t xml:space="preserve">Balance Sheet: Total Assets (QBPBSTAS) | FRED | St. Louis Fed, accessed July 30, 2025, </w:t>
      </w:r>
      <w:hyperlink r:id="rId55">
        <w:r w:rsidDel="00000000" w:rsidR="00000000" w:rsidRPr="00000000">
          <w:rPr>
            <w:rFonts w:ascii="Arial" w:cs="Arial" w:eastAsia="Arial" w:hAnsi="Arial"/>
            <w:color w:val="0000ee"/>
            <w:sz w:val="24"/>
            <w:szCs w:val="24"/>
            <w:u w:val="single"/>
            <w:rtl w:val="0"/>
          </w:rPr>
          <w:t xml:space="preserve">https://fred.stlouisfed.org/series/QBPBSTAS</w:t>
        </w:r>
      </w:hyperlink>
      <w:r w:rsidDel="00000000" w:rsidR="00000000" w:rsidRPr="00000000">
        <w:rPr>
          <w:rtl w:val="0"/>
        </w:rPr>
      </w:r>
    </w:p>
    <w:p w:rsidR="00000000" w:rsidDel="00000000" w:rsidP="00000000" w:rsidRDefault="00000000" w:rsidRPr="00000000" w14:paraId="00000183">
      <w:pPr>
        <w:numPr>
          <w:ilvl w:val="0"/>
          <w:numId w:val="16"/>
        </w:numPr>
        <w:ind w:left="600" w:hanging="360"/>
        <w:rPr/>
      </w:pPr>
      <w:r w:rsidDel="00000000" w:rsidR="00000000" w:rsidRPr="00000000">
        <w:rPr>
          <w:rFonts w:ascii="Arial" w:cs="Arial" w:eastAsia="Arial" w:hAnsi="Arial"/>
          <w:sz w:val="24"/>
          <w:szCs w:val="24"/>
          <w:rtl w:val="0"/>
        </w:rPr>
        <w:t xml:space="preserve">Federal Reserve Economic Data | FRED | St. Louis Fed, accessed July 30, 2025, </w:t>
      </w:r>
      <w:hyperlink r:id="rId56">
        <w:r w:rsidDel="00000000" w:rsidR="00000000" w:rsidRPr="00000000">
          <w:rPr>
            <w:rFonts w:ascii="Arial" w:cs="Arial" w:eastAsia="Arial" w:hAnsi="Arial"/>
            <w:color w:val="0000ee"/>
            <w:sz w:val="24"/>
            <w:szCs w:val="24"/>
            <w:u w:val="single"/>
            <w:rtl w:val="0"/>
          </w:rPr>
          <w:t xml:space="preserve">https://fred.stlouisfed.org/</w:t>
        </w:r>
      </w:hyperlink>
      <w:r w:rsidDel="00000000" w:rsidR="00000000" w:rsidRPr="00000000">
        <w:rPr>
          <w:rtl w:val="0"/>
        </w:rPr>
      </w:r>
    </w:p>
    <w:p w:rsidR="00000000" w:rsidDel="00000000" w:rsidP="00000000" w:rsidRDefault="00000000" w:rsidRPr="00000000" w14:paraId="00000184">
      <w:pPr>
        <w:numPr>
          <w:ilvl w:val="0"/>
          <w:numId w:val="16"/>
        </w:numPr>
        <w:ind w:left="600" w:hanging="360"/>
        <w:rPr/>
      </w:pPr>
      <w:r w:rsidDel="00000000" w:rsidR="00000000" w:rsidRPr="00000000">
        <w:rPr>
          <w:rFonts w:ascii="Arial" w:cs="Arial" w:eastAsia="Arial" w:hAnsi="Arial"/>
          <w:sz w:val="24"/>
          <w:szCs w:val="24"/>
          <w:rtl w:val="0"/>
        </w:rPr>
        <w:t xml:space="preserve">Treasury Kinetics - DTCC Learning Center, accessed July 30, 2025, </w:t>
      </w:r>
      <w:hyperlink r:id="rId57">
        <w:r w:rsidDel="00000000" w:rsidR="00000000" w:rsidRPr="00000000">
          <w:rPr>
            <w:rFonts w:ascii="Arial" w:cs="Arial" w:eastAsia="Arial" w:hAnsi="Arial"/>
            <w:color w:val="0000ee"/>
            <w:sz w:val="24"/>
            <w:szCs w:val="24"/>
            <w:u w:val="single"/>
            <w:rtl w:val="0"/>
          </w:rPr>
          <w:t xml:space="preserve">https://dtcclearning.com/products-and-services/dtcc-data-services/treasury-kinetics.html</w:t>
        </w:r>
      </w:hyperlink>
      <w:r w:rsidDel="00000000" w:rsidR="00000000" w:rsidRPr="00000000">
        <w:rPr>
          <w:rtl w:val="0"/>
        </w:rPr>
      </w:r>
    </w:p>
    <w:p w:rsidR="00000000" w:rsidDel="00000000" w:rsidP="00000000" w:rsidRDefault="00000000" w:rsidRPr="00000000" w14:paraId="00000185">
      <w:pPr>
        <w:numPr>
          <w:ilvl w:val="0"/>
          <w:numId w:val="16"/>
        </w:numPr>
        <w:ind w:left="600" w:hanging="360"/>
        <w:rPr/>
      </w:pPr>
      <w:r w:rsidDel="00000000" w:rsidR="00000000" w:rsidRPr="00000000">
        <w:rPr>
          <w:rFonts w:ascii="Arial" w:cs="Arial" w:eastAsia="Arial" w:hAnsi="Arial"/>
          <w:sz w:val="24"/>
          <w:szCs w:val="24"/>
          <w:rtl w:val="0"/>
        </w:rPr>
        <w:t xml:space="preserve">Securities Finance: Repo Data Analytics Dataset | S&amp;P Global Marketplace, accessed July 30, 2025, </w:t>
      </w:r>
      <w:hyperlink r:id="rId58">
        <w:r w:rsidDel="00000000" w:rsidR="00000000" w:rsidRPr="00000000">
          <w:rPr>
            <w:rFonts w:ascii="Arial" w:cs="Arial" w:eastAsia="Arial" w:hAnsi="Arial"/>
            <w:color w:val="0000ee"/>
            <w:sz w:val="24"/>
            <w:szCs w:val="24"/>
            <w:u w:val="single"/>
            <w:rtl w:val="0"/>
          </w:rPr>
          <w:t xml:space="preserve">https://www.marketplace.spglobal.com/en/datasets/securities-finance-repo-data-analytics-(1707231856)</w:t>
        </w:r>
      </w:hyperlink>
      <w:r w:rsidDel="00000000" w:rsidR="00000000" w:rsidRPr="00000000">
        <w:rPr>
          <w:rtl w:val="0"/>
        </w:rPr>
      </w:r>
    </w:p>
    <w:p w:rsidR="00000000" w:rsidDel="00000000" w:rsidP="00000000" w:rsidRDefault="00000000" w:rsidRPr="00000000" w14:paraId="00000186">
      <w:pPr>
        <w:numPr>
          <w:ilvl w:val="0"/>
          <w:numId w:val="16"/>
        </w:numPr>
        <w:ind w:left="600" w:hanging="360"/>
        <w:rPr/>
      </w:pPr>
      <w:r w:rsidDel="00000000" w:rsidR="00000000" w:rsidRPr="00000000">
        <w:rPr>
          <w:rFonts w:ascii="Arial" w:cs="Arial" w:eastAsia="Arial" w:hAnsi="Arial"/>
          <w:sz w:val="24"/>
          <w:szCs w:val="24"/>
          <w:rtl w:val="0"/>
        </w:rPr>
        <w:t xml:space="preserve">Securities Lending Market Data &amp; Analytics - FIS, accessed July 30, 2025, </w:t>
      </w:r>
      <w:hyperlink r:id="rId59">
        <w:r w:rsidDel="00000000" w:rsidR="00000000" w:rsidRPr="00000000">
          <w:rPr>
            <w:rFonts w:ascii="Arial" w:cs="Arial" w:eastAsia="Arial" w:hAnsi="Arial"/>
            <w:color w:val="0000ee"/>
            <w:sz w:val="24"/>
            <w:szCs w:val="24"/>
            <w:u w:val="single"/>
            <w:rtl w:val="0"/>
          </w:rPr>
          <w:t xml:space="preserve">https://www.fisglobal.com/products/fis-securities-finance-market-data</w:t>
        </w:r>
      </w:hyperlink>
      <w:r w:rsidDel="00000000" w:rsidR="00000000" w:rsidRPr="00000000">
        <w:rPr>
          <w:rtl w:val="0"/>
        </w:rPr>
      </w:r>
    </w:p>
    <w:p w:rsidR="00000000" w:rsidDel="00000000" w:rsidP="00000000" w:rsidRDefault="00000000" w:rsidRPr="00000000" w14:paraId="00000187">
      <w:pPr>
        <w:numPr>
          <w:ilvl w:val="0"/>
          <w:numId w:val="16"/>
        </w:numPr>
        <w:ind w:left="600" w:hanging="360"/>
        <w:rPr/>
      </w:pPr>
      <w:r w:rsidDel="00000000" w:rsidR="00000000" w:rsidRPr="00000000">
        <w:rPr>
          <w:rFonts w:ascii="Arial" w:cs="Arial" w:eastAsia="Arial" w:hAnsi="Arial"/>
          <w:sz w:val="24"/>
          <w:szCs w:val="24"/>
          <w:rtl w:val="0"/>
        </w:rPr>
        <w:t xml:space="preserve">Market Data - ISLA - International Securities Lending Association, accessed July 30, 2025, </w:t>
      </w:r>
      <w:hyperlink r:id="rId60">
        <w:r w:rsidDel="00000000" w:rsidR="00000000" w:rsidRPr="00000000">
          <w:rPr>
            <w:rFonts w:ascii="Arial" w:cs="Arial" w:eastAsia="Arial" w:hAnsi="Arial"/>
            <w:color w:val="0000ee"/>
            <w:sz w:val="24"/>
            <w:szCs w:val="24"/>
            <w:u w:val="single"/>
            <w:rtl w:val="0"/>
          </w:rPr>
          <w:t xml:space="preserve">https://www.islaemea.org/securities-lending-market-data/</w:t>
        </w:r>
      </w:hyperlink>
      <w:r w:rsidDel="00000000" w:rsidR="00000000" w:rsidRPr="00000000">
        <w:rPr>
          <w:rtl w:val="0"/>
        </w:rPr>
      </w:r>
    </w:p>
    <w:p w:rsidR="00000000" w:rsidDel="00000000" w:rsidP="00000000" w:rsidRDefault="00000000" w:rsidRPr="00000000" w14:paraId="00000188">
      <w:pPr>
        <w:numPr>
          <w:ilvl w:val="0"/>
          <w:numId w:val="16"/>
        </w:numPr>
        <w:ind w:left="600" w:hanging="360"/>
        <w:rPr/>
      </w:pPr>
      <w:r w:rsidDel="00000000" w:rsidR="00000000" w:rsidRPr="00000000">
        <w:rPr>
          <w:rFonts w:ascii="Arial" w:cs="Arial" w:eastAsia="Arial" w:hAnsi="Arial"/>
          <w:sz w:val="24"/>
          <w:szCs w:val="24"/>
          <w:rtl w:val="0"/>
        </w:rPr>
        <w:t xml:space="preserve">Securities Lending Data - Financial, Economic and Alternative Data, accessed July 30, 2025, </w:t>
      </w:r>
      <w:hyperlink r:id="rId61">
        <w:r w:rsidDel="00000000" w:rsidR="00000000" w:rsidRPr="00000000">
          <w:rPr>
            <w:rFonts w:ascii="Arial" w:cs="Arial" w:eastAsia="Arial" w:hAnsi="Arial"/>
            <w:color w:val="0000ee"/>
            <w:sz w:val="24"/>
            <w:szCs w:val="24"/>
            <w:u w:val="single"/>
            <w:rtl w:val="0"/>
          </w:rPr>
          <w:t xml:space="preserve">https://data.nasdaq.com/databases/SLD</w:t>
        </w:r>
      </w:hyperlink>
      <w:r w:rsidDel="00000000" w:rsidR="00000000" w:rsidRPr="00000000">
        <w:rPr>
          <w:rtl w:val="0"/>
        </w:rPr>
      </w:r>
    </w:p>
    <w:p w:rsidR="00000000" w:rsidDel="00000000" w:rsidP="00000000" w:rsidRDefault="00000000" w:rsidRPr="00000000" w14:paraId="00000189">
      <w:pPr>
        <w:numPr>
          <w:ilvl w:val="0"/>
          <w:numId w:val="16"/>
        </w:numPr>
        <w:ind w:left="600" w:hanging="360"/>
        <w:rPr/>
      </w:pPr>
      <w:r w:rsidDel="00000000" w:rsidR="00000000" w:rsidRPr="00000000">
        <w:rPr>
          <w:rFonts w:ascii="Arial" w:cs="Arial" w:eastAsia="Arial" w:hAnsi="Arial"/>
          <w:sz w:val="24"/>
          <w:szCs w:val="24"/>
          <w:rtl w:val="0"/>
        </w:rPr>
        <w:t xml:space="preserve">The Historic Crisis Of Financial Market Plumbing | Exploring Economics, accessed July 30, 2025, </w:t>
      </w:r>
      <w:hyperlink r:id="rId62">
        <w:r w:rsidDel="00000000" w:rsidR="00000000" w:rsidRPr="00000000">
          <w:rPr>
            <w:rFonts w:ascii="Arial" w:cs="Arial" w:eastAsia="Arial" w:hAnsi="Arial"/>
            <w:color w:val="0000ee"/>
            <w:sz w:val="24"/>
            <w:szCs w:val="24"/>
            <w:u w:val="single"/>
            <w:rtl w:val="0"/>
          </w:rPr>
          <w:t xml:space="preserve">https://www.exploring-economics.org/en/discover/the-historic-crisis-of-financial-market-plumbing/</w:t>
        </w:r>
      </w:hyperlink>
      <w:r w:rsidDel="00000000" w:rsidR="00000000" w:rsidRPr="00000000">
        <w:rPr>
          <w:rtl w:val="0"/>
        </w:rPr>
      </w:r>
    </w:p>
    <w:p w:rsidR="00000000" w:rsidDel="00000000" w:rsidP="00000000" w:rsidRDefault="00000000" w:rsidRPr="00000000" w14:paraId="0000018A">
      <w:pPr>
        <w:numPr>
          <w:ilvl w:val="0"/>
          <w:numId w:val="16"/>
        </w:numPr>
        <w:ind w:left="600" w:hanging="360"/>
        <w:rPr/>
      </w:pPr>
      <w:r w:rsidDel="00000000" w:rsidR="00000000" w:rsidRPr="00000000">
        <w:rPr>
          <w:rFonts w:ascii="Arial" w:cs="Arial" w:eastAsia="Arial" w:hAnsi="Arial"/>
          <w:sz w:val="24"/>
          <w:szCs w:val="24"/>
          <w:rtl w:val="0"/>
        </w:rPr>
        <w:t xml:space="preserve">Zoltan Pozsar and Perry Mehrling On The Market Crisis - YouTube, accessed July </w:t>
      </w:r>
      <w:r w:rsidDel="00000000" w:rsidR="00000000" w:rsidRPr="00000000">
        <w:rPr>
          <w:rtl w:val="0"/>
        </w:rPr>
      </w:r>
    </w:p>
    <w:sectPr>
      <w:headerReference r:id="rId63" w:type="default"/>
      <w:headerReference r:id="rId64" w:type="first"/>
      <w:footerReference r:id="rId65" w:type="default"/>
      <w:footerReference r:id="rId66" w:type="firs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spacing w:after="0" w:lineRule="auto"/>
      <w:jc w:val="center"/>
      <w:rPr>
        <w:rFonts w:ascii="Arial" w:cs="Arial" w:eastAsia="Arial" w:hAnsi="Arial"/>
        <w:b w:val="1"/>
        <w:i w:val="1"/>
        <w:color w:val="0b5394"/>
        <w:sz w:val="16"/>
        <w:szCs w:val="16"/>
      </w:rPr>
    </w:pPr>
    <w:r w:rsidDel="00000000" w:rsidR="00000000" w:rsidRPr="00000000">
      <w:rPr>
        <w:rtl w:val="0"/>
      </w:rPr>
    </w:r>
  </w:p>
  <w:p w:rsidR="00000000" w:rsidDel="00000000" w:rsidP="00000000" w:rsidRDefault="00000000" w:rsidRPr="00000000" w14:paraId="0000018F">
    <w:pPr>
      <w:spacing w:after="0" w:lineRule="auto"/>
      <w:jc w:val="center"/>
      <w:rPr>
        <w:rFonts w:ascii="Arial" w:cs="Arial" w:eastAsia="Arial" w:hAnsi="Arial"/>
        <w:i w:val="1"/>
        <w:color w:val="666666"/>
        <w:sz w:val="16"/>
        <w:szCs w:val="16"/>
      </w:rPr>
    </w:pPr>
    <w:r w:rsidDel="00000000" w:rsidR="00000000" w:rsidRPr="00000000">
      <w:rPr>
        <w:rFonts w:ascii="Arial" w:cs="Arial" w:eastAsia="Arial" w:hAnsi="Arial"/>
        <w:b w:val="1"/>
        <w:i w:val="1"/>
        <w:color w:val="0b5394"/>
        <w:sz w:val="16"/>
        <w:szCs w:val="16"/>
        <w:rtl w:val="0"/>
      </w:rPr>
      <w:t xml:space="preserve">Bob Sheehan, CFA, CMT</w:t>
    </w:r>
    <w:r w:rsidDel="00000000" w:rsidR="00000000" w:rsidRPr="00000000">
      <w:rPr>
        <w:rtl w:val="0"/>
      </w:rPr>
    </w:r>
  </w:p>
  <w:p w:rsidR="00000000" w:rsidDel="00000000" w:rsidP="00000000" w:rsidRDefault="00000000" w:rsidRPr="00000000" w14:paraId="00000190">
    <w:pPr>
      <w:spacing w:after="0" w:lineRule="auto"/>
      <w:jc w:val="center"/>
      <w:rPr>
        <w:i w:val="1"/>
        <w:color w:val="666666"/>
        <w:sz w:val="16"/>
        <w:szCs w:val="16"/>
      </w:rPr>
    </w:pPr>
    <w:r w:rsidDel="00000000" w:rsidR="00000000" w:rsidRPr="00000000">
      <w:rPr>
        <w:rFonts w:ascii="Arial" w:cs="Arial" w:eastAsia="Arial" w:hAnsi="Arial"/>
        <w:i w:val="1"/>
        <w:color w:val="666666"/>
        <w:sz w:val="16"/>
        <w:szCs w:val="16"/>
        <w:rtl w:val="0"/>
      </w:rPr>
      <w:t xml:space="preserve">EquiLend Data &amp; Analytics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ind w:left="0" w:right="-270" w:firstLine="0"/>
      <w:jc w:val="right"/>
      <w:rPr>
        <w:color w:val="351c75"/>
      </w:rPr>
    </w:pPr>
    <w:r w:rsidDel="00000000" w:rsidR="00000000" w:rsidRPr="00000000">
      <w:rPr>
        <w:rtl w:val="0"/>
      </w:rPr>
    </w:r>
  </w:p>
  <w:p w:rsidR="00000000" w:rsidDel="00000000" w:rsidP="00000000" w:rsidRDefault="00000000" w:rsidRPr="00000000" w14:paraId="0000018C">
    <w:pPr>
      <w:ind w:left="0" w:right="-270" w:firstLine="0"/>
      <w:jc w:val="right"/>
      <w:rPr>
        <w:color w:val="351c75"/>
      </w:rPr>
    </w:pPr>
    <w:r w:rsidDel="00000000" w:rsidR="00000000" w:rsidRPr="00000000">
      <w:rPr>
        <w:color w:val="351c75"/>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red.stlouisfed.org/release?rid=483" TargetMode="External"/><Relationship Id="rId42" Type="http://schemas.openxmlformats.org/officeDocument/2006/relationships/hyperlink" Target="https://fred.stlouisfed.org/tags/series?t=reverse+repos" TargetMode="External"/><Relationship Id="rId41" Type="http://schemas.openxmlformats.org/officeDocument/2006/relationships/hyperlink" Target="https://fred.stlouisfed.org/graph/?g=1dGWU" TargetMode="External"/><Relationship Id="rId44" Type="http://schemas.openxmlformats.org/officeDocument/2006/relationships/hyperlink" Target="https://fred.stlouisfed.org/graph/?g=3FBA" TargetMode="External"/><Relationship Id="rId43" Type="http://schemas.openxmlformats.org/officeDocument/2006/relationships/hyperlink" Target="https://www.newyorkfed.org/markets/reference-rates/obfr" TargetMode="External"/><Relationship Id="rId46" Type="http://schemas.openxmlformats.org/officeDocument/2006/relationships/hyperlink" Target="https://dtcclearning.com/documents/fixed-income-clearing-1/gsd/gcf-repo-service-2/gcf-repo-index/1960-gcf-repo-index-fact-sheet.html" TargetMode="External"/><Relationship Id="rId45" Type="http://schemas.openxmlformats.org/officeDocument/2006/relationships/hyperlink" Target="https://www.sifma.org/resources/research/statistics/us-repo-statist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ytrading.com/zoltan-pozsar" TargetMode="External"/><Relationship Id="rId48" Type="http://schemas.openxmlformats.org/officeDocument/2006/relationships/hyperlink" Target="https://highstrike.com/stir-futures/" TargetMode="External"/><Relationship Id="rId47" Type="http://schemas.openxmlformats.org/officeDocument/2006/relationships/hyperlink" Target="https://www.cmegroup.com/education/courses/understanding-stir-futures.html" TargetMode="External"/><Relationship Id="rId49" Type="http://schemas.openxmlformats.org/officeDocument/2006/relationships/hyperlink" Target="https://www.newyorkfed.org/medialibrary/media/research/epr/2021/epr_2021_market-events_afonso.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Plumbing_(finance)" TargetMode="External"/><Relationship Id="rId8" Type="http://schemas.openxmlformats.org/officeDocument/2006/relationships/hyperlink" Target="https://www.daytrading.com/financial-plumbing" TargetMode="External"/><Relationship Id="rId31" Type="http://schemas.openxmlformats.org/officeDocument/2006/relationships/hyperlink" Target="https://www.federalreserve.gov/econres/notes/feds-notes/what-Happened-in-Money-Markets-in-September-2019-20200227.htm" TargetMode="External"/><Relationship Id="rId30" Type="http://schemas.openxmlformats.org/officeDocument/2006/relationships/hyperlink" Target="https://www.sifma.org/wp-content/uploads/2020/05/SIFMA-Primary-Dealer-Fact-Sheet.pdf" TargetMode="External"/><Relationship Id="rId33" Type="http://schemas.openxmlformats.org/officeDocument/2006/relationships/hyperlink" Target="https://www.blackrock.com/cash/en-us/insight-and-education/understanding-repurchase-agreements" TargetMode="External"/><Relationship Id="rId32" Type="http://schemas.openxmlformats.org/officeDocument/2006/relationships/hyperlink" Target="https://institutional.fidelity.com/advisors/insights/topics/investing-ideas/understanding-repurchase-agreements" TargetMode="External"/><Relationship Id="rId35" Type="http://schemas.openxmlformats.org/officeDocument/2006/relationships/hyperlink" Target="https://fred.stlouisfed.org/graph/?g=kDAE" TargetMode="External"/><Relationship Id="rId34" Type="http://schemas.openxmlformats.org/officeDocument/2006/relationships/hyperlink" Target="https://cb.is/payments/oversight-of-financial-market-infrastructures/" TargetMode="External"/><Relationship Id="rId37" Type="http://schemas.openxmlformats.org/officeDocument/2006/relationships/hyperlink" Target="https://fred.stlouisfed.org/series/SOFR" TargetMode="External"/><Relationship Id="rId36" Type="http://schemas.openxmlformats.org/officeDocument/2006/relationships/hyperlink" Target="https://en.wikipedia.org/wiki/SOFR" TargetMode="External"/><Relationship Id="rId39" Type="http://schemas.openxmlformats.org/officeDocument/2006/relationships/hyperlink" Target="https://fred.stlouisfed.org/graph/?g=C8CA" TargetMode="External"/><Relationship Id="rId38" Type="http://schemas.openxmlformats.org/officeDocument/2006/relationships/hyperlink" Target="https://fred.stlouisfed.org/series/SOFR75" TargetMode="External"/><Relationship Id="rId62" Type="http://schemas.openxmlformats.org/officeDocument/2006/relationships/hyperlink" Target="https://www.exploring-economics.org/en/discover/the-historic-crisis-of-financial-market-plumbing/" TargetMode="External"/><Relationship Id="rId61" Type="http://schemas.openxmlformats.org/officeDocument/2006/relationships/hyperlink" Target="https://data.nasdaq.com/databases/SLD" TargetMode="External"/><Relationship Id="rId20" Type="http://schemas.openxmlformats.org/officeDocument/2006/relationships/hyperlink" Target="https://fred.stlouisfed.org/series/RRPONTSYD" TargetMode="External"/><Relationship Id="rId64" Type="http://schemas.openxmlformats.org/officeDocument/2006/relationships/header" Target="header2.xml"/><Relationship Id="rId63" Type="http://schemas.openxmlformats.org/officeDocument/2006/relationships/header" Target="header1.xml"/><Relationship Id="rId22" Type="http://schemas.openxmlformats.org/officeDocument/2006/relationships/hyperlink" Target="https://www.newyorkfed.org/medialibrary/media/research/staff_reports/sr529.pdf" TargetMode="External"/><Relationship Id="rId66" Type="http://schemas.openxmlformats.org/officeDocument/2006/relationships/footer" Target="footer2.xml"/><Relationship Id="rId21" Type="http://schemas.openxmlformats.org/officeDocument/2006/relationships/hyperlink" Target="https://www.icmagroup.org/assets/documents/Regulatory/Repo/Repo-FAQs-January-2019.pdf" TargetMode="External"/><Relationship Id="rId65" Type="http://schemas.openxmlformats.org/officeDocument/2006/relationships/footer" Target="footer1.xml"/><Relationship Id="rId24" Type="http://schemas.openxmlformats.org/officeDocument/2006/relationships/hyperlink" Target="https://fedinprint.org/item/fednep/20102" TargetMode="External"/><Relationship Id="rId23" Type="http://schemas.openxmlformats.org/officeDocument/2006/relationships/hyperlink" Target="https://www.dtcc.com/charts/dtcc-gcf-repo-index" TargetMode="External"/><Relationship Id="rId60" Type="http://schemas.openxmlformats.org/officeDocument/2006/relationships/hyperlink" Target="https://www.islaemea.org/securities-lending-market-data/" TargetMode="External"/><Relationship Id="rId26" Type="http://schemas.openxmlformats.org/officeDocument/2006/relationships/hyperlink" Target="https://sharegain.com/faq/what-is-the-difference-between-securities-lending-and-repo/" TargetMode="External"/><Relationship Id="rId25" Type="http://schemas.openxmlformats.org/officeDocument/2006/relationships/hyperlink" Target="https://iongroup.com/blog/markets/a-comprehensive-guide-to-securities-lending/" TargetMode="External"/><Relationship Id="rId28" Type="http://schemas.openxmlformats.org/officeDocument/2006/relationships/hyperlink" Target="https://www.newyorkfed.org/markets/primarydealers" TargetMode="External"/><Relationship Id="rId27" Type="http://schemas.openxmlformats.org/officeDocument/2006/relationships/hyperlink" Target="https://www.newyorkfed.org/markets/pridealers_policies.html" TargetMode="External"/><Relationship Id="rId29" Type="http://schemas.openxmlformats.org/officeDocument/2006/relationships/hyperlink" Target="https://home.treasury.gov/policy-issues/financing-the-government/quarterly-refunding/primary-dealers" TargetMode="External"/><Relationship Id="rId51" Type="http://schemas.openxmlformats.org/officeDocument/2006/relationships/hyperlink" Target="https://www.suerf.org/events/financial-markets-systemic-risks-in-plumbing/" TargetMode="External"/><Relationship Id="rId50" Type="http://schemas.openxmlformats.org/officeDocument/2006/relationships/hyperlink" Target="https://en.wikipedia.org/wiki/September_2019_events_in_the_U.S._repo_market" TargetMode="External"/><Relationship Id="rId53" Type="http://schemas.openxmlformats.org/officeDocument/2006/relationships/hyperlink" Target="https://omny.fm/shows/odd-lots/zoltan-pozsar-and-perry-mehrling-on-the-historic-c" TargetMode="External"/><Relationship Id="rId52" Type="http://schemas.openxmlformats.org/officeDocument/2006/relationships/hyperlink" Target="https://en.wikipedia.org/wiki/Financial_market_impact_of_the_COVID-19_pandemic" TargetMode="External"/><Relationship Id="rId11" Type="http://schemas.openxmlformats.org/officeDocument/2006/relationships/hyperlink" Target="https://www.newyorkfed.org/markets/domestic-market-operations/monetary-policy-implementation" TargetMode="External"/><Relationship Id="rId55" Type="http://schemas.openxmlformats.org/officeDocument/2006/relationships/hyperlink" Target="https://fred.stlouisfed.org/series/QBPBSTAS" TargetMode="External"/><Relationship Id="rId10" Type="http://schemas.openxmlformats.org/officeDocument/2006/relationships/hyperlink" Target="https://www.newyorkfed.org/medialibrary/media/research/epr/forthcoming/1202mart.pdf" TargetMode="External"/><Relationship Id="rId54" Type="http://schemas.openxmlformats.org/officeDocument/2006/relationships/hyperlink" Target="https://fred.stlouisfed.org/tags/series?t=balance+sheet;frb" TargetMode="External"/><Relationship Id="rId13" Type="http://schemas.openxmlformats.org/officeDocument/2006/relationships/hyperlink" Target="https://www.newyorkfed.org/markets/reference-rates/effr" TargetMode="External"/><Relationship Id="rId57" Type="http://schemas.openxmlformats.org/officeDocument/2006/relationships/hyperlink" Target="https://dtcclearning.com/products-and-services/dtcc-data-services/treasury-kinetics.html" TargetMode="External"/><Relationship Id="rId12" Type="http://schemas.openxmlformats.org/officeDocument/2006/relationships/hyperlink" Target="https://www.investopedia.com/terms/f/federalfundsrate.asp" TargetMode="External"/><Relationship Id="rId56" Type="http://schemas.openxmlformats.org/officeDocument/2006/relationships/hyperlink" Target="https://fred.stlouisfed.org/" TargetMode="External"/><Relationship Id="rId15" Type="http://schemas.openxmlformats.org/officeDocument/2006/relationships/hyperlink" Target="https://www.cbsnews.com/news/federal-reserve-meeting-today-fed-fomc-interest-rate-trump-powell/" TargetMode="External"/><Relationship Id="rId59" Type="http://schemas.openxmlformats.org/officeDocument/2006/relationships/hyperlink" Target="https://www.fisglobal.com/products/fis-securities-finance-market-data" TargetMode="External"/><Relationship Id="rId14" Type="http://schemas.openxmlformats.org/officeDocument/2006/relationships/hyperlink" Target="https://www.federalreserve.gov/economy-at-a-glance-policy-rate.htm" TargetMode="External"/><Relationship Id="rId58" Type="http://schemas.openxmlformats.org/officeDocument/2006/relationships/hyperlink" Target="https://www.marketplace.spglobal.com/en/datasets/securities-finance-repo-data-analytics-(1707231856)" TargetMode="External"/><Relationship Id="rId17" Type="http://schemas.openxmlformats.org/officeDocument/2006/relationships/hyperlink" Target="https://www.newyorkfed.org/markets/domestic-market-operations/monetary-policy-implementation/repo-reverse-repo-agreements" TargetMode="External"/><Relationship Id="rId16" Type="http://schemas.openxmlformats.org/officeDocument/2006/relationships/hyperlink" Target="https://www.federalreserve.gov/" TargetMode="External"/><Relationship Id="rId19" Type="http://schemas.openxmlformats.org/officeDocument/2006/relationships/hyperlink" Target="https://www.imf.org/external/pubs/ft/wp/2014/wp14111.pdf" TargetMode="External"/><Relationship Id="rId18" Type="http://schemas.openxmlformats.org/officeDocument/2006/relationships/hyperlink" Target="https://www.sec.gov/files/mmfs-and-repo-market-0217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BeJiHRmzbI4AmmMArzBLjT7QQ==">CgMxLjA4AHIhMTN3THVZVGd2dGZ3dGpPaWdSYkhEeUhUYTRkc0dIOWkz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