
<file path=[Content_Types].xml><?xml version="1.0" encoding="utf-8"?>
<Types xmlns="http://schemas.openxmlformats.org/package/2006/content-types">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Default Extension="xml" ContentType="application/xml"/>
  <Default Extension="jpg" ContentType="image/jpeg"/>
  <Default Extension="jpeg" ContentType="image/jpeg"/>
  <Default Extension="png" ContentType="image/png"/>
  <Default Extension="gif" ContentType="image/gif"/>
  <Default Extension="bmp" ContentType="image/bmp"/>
  <Default Extension="rels" ContentType="application/vnd.openxmlformats-package.relationship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0="urn:schemas-microsoft-com:office:word" xmlns:o="urn:schemas-microsoft-com:office:office" xmlns:r="http://schemas.openxmlformats.org/officeDocument/2006/relationships" xmlns:v="urn:schemas-microsoft-com:vml" xmlns:wp="http://schemas.openxmlformats.org/drawingml/2006/wordprocessingDrawing" xmlns:w="http://schemas.openxmlformats.org/wordprocessingml/2006/main">
  <w:body>
    <w:p>
      <w:pPr>
        <w:pStyle w:val="Heading1"/>
      </w:pPr>
      <w:r>
        <w:rPr/>
        <w:t xml:space="preserve">PROPOSED STRATEGY:</w:t>
      </w:r>
    </w:p>
    <w:p/>
    <w:p>
      <w:pPr>
        <w:pStyle w:val="Normal"/>
      </w:pPr>
      <w:r>
        <w:rPr/>
        <w:t xml:space="preserve">Multi-Asset Macro Strategy: Regime-Based Concentration</w:t>
      </w:r>
    </w:p>
    <w:p/>
    <w:p>
      <w:pPr>
        <w:pStyle w:val="Normal"/>
      </w:pPr>
      <w:r>
        <w:rPr/>
        <w:t xml:space="preserve">INVESTMENT PHILOSOPHY:</w:t>
      </w:r>
    </w:p>
    <w:p>
      <w:pPr>
        <w:pStyle w:val="Normal"/>
      </w:pPr>
      <w:r>
        <w:rPr/>
        <w:t xml:space="preserve">High-conviction macro positioning based on systematic identification of regime shifts through proprietary leading indicators. Concentrated portfolios (3-5 positions typically, up to 10 maximum) across equities, rates, credit, commodities, currencies, and digital assets, with position sizing determined by signal strength and risk budget allocation.</w:t>
      </w:r>
    </w:p>
    <w:p/>
    <w:p>
      <w:pPr>
        <w:pStyle w:val="Normal"/>
      </w:pPr>
      <w:r>
        <w:rPr/>
        <w:t xml:space="preserve">CORE FRAMEWORK:</w:t>
      </w:r>
    </w:p>
    <w:p>
      <w:pPr>
        <w:pStyle w:val="Normal"/>
      </w:pPr>
      <w:r>
        <w:rPr/>
        <w:t xml:space="preserve">Three-pillar analytical engine:</w:t>
      </w:r>
    </w:p>
    <w:p>
      <w:pPr>
        <w:pStyle w:val="ListParagraph"/>
        <w:numPr>
          <w:ilvl w:val="0"/>
          <w:numId w:val="1"/>
        </w:numPr>
      </w:pPr>
      <w:r>
        <w:rPr/>
        <w:t xml:space="preserve">Macro Dynamics: Labor flows (quits, openings, duration) as leading indicators of income/spending/corporate stress</w:t>
      </w:r>
    </w:p>
    <w:p>
      <w:pPr>
        <w:pStyle w:val="ListParagraph"/>
        <w:numPr>
          <w:ilvl w:val="0"/>
          <w:numId w:val="2"/>
        </w:numPr>
      </w:pPr>
      <w:r>
        <w:rPr/>
        <w:t xml:space="preserve">Monetary Mechanics: Fed plumbing (RRP, reserves, funding spreads) as liquidity transmission measurement</w:t>
      </w:r>
    </w:p>
    <w:p>
      <w:pPr>
        <w:pStyle w:val="ListParagraph"/>
        <w:numPr>
          <w:ilvl w:val="0"/>
          <w:numId w:val="3"/>
        </w:numPr>
      </w:pPr>
      <w:r>
        <w:rPr/>
        <w:t xml:space="preserve">Market Technicals: Positioning, volatility, and cross-asset correlations as regime confirmation</w:t>
      </w:r>
    </w:p>
    <w:p/>
    <w:p>
      <w:pPr>
        <w:pStyle w:val="Normal"/>
      </w:pPr>
      <w:r>
        <w:rPr/>
        <w:t xml:space="preserve">PROPRIETARY INDICATORS:</w:t>
      </w:r>
    </w:p>
    <w:p>
      <w:pPr>
        <w:pStyle w:val="ListParagraph"/>
        <w:numPr>
          <w:ilvl w:val="0"/>
          <w:numId w:val="4"/>
        </w:numPr>
      </w:pPr>
      <w:r>
        <w:rPr/>
        <w:t xml:space="preserve">Labor Fragility Index (LFI): Composite of labor market leading indicators</w:t>
      </w:r>
    </w:p>
    <w:p>
      <w:pPr>
        <w:pStyle w:val="ListParagraph"/>
        <w:numPr>
          <w:ilvl w:val="0"/>
          <w:numId w:val="5"/>
        </w:numPr>
      </w:pPr>
      <w:r>
        <w:rPr/>
        <w:t xml:space="preserve">Liquidity Cushion Index (LCI): System shock absorption capacity measurement</w:t>
      </w:r>
      <w:r>
        <w:rPr/>
        <w:t xml:space="preserve">  </w:t>
      </w:r>
    </w:p>
    <w:p>
      <w:pPr>
        <w:pStyle w:val="ListParagraph"/>
        <w:numPr>
          <w:ilvl w:val="0"/>
          <w:numId w:val="6"/>
        </w:numPr>
      </w:pPr>
      <w:r>
        <w:rPr/>
        <w:t xml:space="preserve">Macro Risk Index (MRI): Master composite synthesizing labor, liquidity, and credit stress</w:t>
      </w:r>
    </w:p>
    <w:p/>
    <w:p>
      <w:pPr>
        <w:pStyle w:val="Normal"/>
      </w:pPr>
      <w:r>
        <w:rPr/>
        <w:t xml:space="preserve">POSITION CONSTRUCTION:</w:t>
      </w:r>
    </w:p>
    <w:p>
      <w:pPr>
        <w:pStyle w:val="ListParagraph"/>
        <w:numPr>
          <w:ilvl w:val="0"/>
          <w:numId w:val="7"/>
        </w:numPr>
      </w:pPr>
      <w:r>
        <w:rPr/>
        <w:t xml:space="preserve">Implement through simple, liquid instruments (ETFs, futures, spot FX, cash instruments)</w:t>
      </w:r>
    </w:p>
    <w:p>
      <w:pPr>
        <w:pStyle w:val="ListParagraph"/>
        <w:numPr>
          <w:ilvl w:val="0"/>
          <w:numId w:val="8"/>
        </w:numPr>
      </w:pPr>
      <w:r>
        <w:rPr/>
        <w:t xml:space="preserve">Avoid complexity for complexity's sake—position sizing and risk management over options structures</w:t>
      </w:r>
    </w:p>
    <w:p>
      <w:pPr>
        <w:pStyle w:val="ListParagraph"/>
        <w:numPr>
          <w:ilvl w:val="0"/>
          <w:numId w:val="9"/>
        </w:numPr>
      </w:pPr>
      <w:r>
        <w:rPr/>
        <w:t xml:space="preserve">Typical 3-5 high-conviction bets, maximum 10 positions across different macro themes</w:t>
      </w:r>
    </w:p>
    <w:p>
      <w:pPr>
        <w:pStyle w:val="ListParagraph"/>
        <w:numPr>
          <w:ilvl w:val="0"/>
          <w:numId w:val="10"/>
        </w:numPr>
      </w:pPr>
      <w:r>
        <w:rPr/>
        <w:t xml:space="preserve">Cash as active position (30-70% valid when conviction low, 100% cash also valid)</w:t>
      </w:r>
    </w:p>
    <w:p/>
    <w:p>
      <w:pPr>
        <w:pStyle w:val="Normal"/>
      </w:pPr>
      <w:r>
        <w:rPr/>
        <w:t xml:space="preserve">CROSS-ASSET INTEGRATION:</w:t>
      </w:r>
    </w:p>
    <w:p>
      <w:pPr>
        <w:pStyle w:val="Normal"/>
      </w:pPr>
      <w:r>
        <w:rPr/>
        <w:t xml:space="preserve">Analysis incorporates transmission mechanisms across all major asset classes, including emerging crypto-TradFi linkages where relevant to liquidity dynamics (e.g., stablecoin Treasury holdings, redemption risk implications for Fed plumbing). Understanding these structural relationships matters for macro analysis regardless of whether crypto is an active portfolio position.</w:t>
      </w:r>
    </w:p>
    <w:p/>
    <w:p>
      <w:pPr>
        <w:pStyle w:val="Normal"/>
      </w:pPr>
      <w:r>
        <w:rPr/>
        <w:t xml:space="preserve">RISK MANAGEMENT:</w:t>
      </w:r>
    </w:p>
    <w:p>
      <w:pPr>
        <w:pStyle w:val="ListParagraph"/>
        <w:numPr>
          <w:ilvl w:val="0"/>
          <w:numId w:val="11"/>
        </w:numPr>
      </w:pPr>
      <w:r>
        <w:rPr/>
        <w:t xml:space="preserve">Position limits: 30% maximum single position, maximum 100% gross exposure</w:t>
      </w:r>
    </w:p>
    <w:p>
      <w:pPr>
        <w:pStyle w:val="ListParagraph"/>
        <w:numPr>
          <w:ilvl w:val="0"/>
          <w:numId w:val="12"/>
        </w:numPr>
      </w:pPr>
      <w:r>
        <w:rPr/>
        <w:t xml:space="preserve">Dual stop-loss framework:</w:t>
      </w:r>
    </w:p>
    <w:p>
      <w:pPr>
        <w:pStyle w:val="ListParagraph"/>
        <w:numPr>
          <w:ilvl w:val="1"/>
          <w:numId w:val="13"/>
        </w:numPr>
      </w:pPr>
      <w:r>
        <w:rPr/>
        <w:t xml:space="preserve">Thesis-based stops: Exit when regime invalidation criteria met (e.g., quits rate rises above 2.1%, Fed emergency intervention)</w:t>
      </w:r>
    </w:p>
    <w:p>
      <w:pPr>
        <w:pStyle w:val="ListParagraph"/>
        <w:numPr>
          <w:ilvl w:val="1"/>
          <w:numId w:val="14"/>
        </w:numPr>
      </w:pPr>
      <w:r>
        <w:rPr/>
        <w:t xml:space="preserve">Price-based stops: Technical invalidation triggers exit regardless of fundamental view (e.g., 50-day MA breaks below 200-day MA, relative trend reversal)</w:t>
      </w:r>
    </w:p>
    <w:p>
      <w:pPr>
        <w:pStyle w:val="ListParagraph"/>
        <w:numPr>
          <w:ilvl w:val="1"/>
          <w:numId w:val="15"/>
        </w:numPr>
      </w:pPr>
      <w:r>
        <w:rPr/>
        <w:t xml:space="preserve">Use whichever stop triggers first—preserve capital and reassess</w:t>
      </w:r>
    </w:p>
    <w:p>
      <w:pPr>
        <w:pStyle w:val="ListParagraph"/>
        <w:numPr>
          <w:ilvl w:val="0"/>
          <w:numId w:val="16"/>
        </w:numPr>
      </w:pPr>
      <w:r>
        <w:rPr/>
        <w:t xml:space="preserve">Drawdown protocols: Progressive risk reduction at -5%, -10%, -15% levels</w:t>
      </w:r>
    </w:p>
    <w:p>
      <w:pPr>
        <w:pStyle w:val="ListParagraph"/>
        <w:numPr>
          <w:ilvl w:val="0"/>
          <w:numId w:val="17"/>
        </w:numPr>
      </w:pPr>
      <w:r>
        <w:rPr/>
        <w:t xml:space="preserve">Correlation monitoring: Reduce exposure when correlations spike (diversification illusion breaks)</w:t>
      </w:r>
    </w:p>
    <w:p/>
    <w:p>
      <w:pPr>
        <w:pStyle w:val="Normal"/>
      </w:pPr>
      <w:r>
        <w:rPr/>
        <w:t xml:space="preserve">RECENT APPLICATION (2024-25):</w:t>
      </w:r>
    </w:p>
    <w:p>
      <w:pPr>
        <w:pStyle w:val="Normal"/>
      </w:pPr>
      <w:r>
        <w:rPr/>
        <w:t xml:space="preserve">Identified labor market fragility early 2024 (quits rate deterioration, rising long-term unemployment) before consensus recognition. Framework synthesized labor flows, credit market complacency (HY OAS at third percentile), and Fed plumbing dynamics (RRP exhaustion) into unified regime assessment, enabling defensive positioning 6-9 months ahead of broader market. This demonstrates the strategy's ability to identify regime shifts with sufficient lead time for portfolio repositioning.</w:t>
      </w:r>
    </w:p>
    <w:p/>
    <w:p>
      <w:pPr>
        <w:pStyle w:val="Normal"/>
      </w:pPr>
      <w:r>
        <w:rPr/>
        <w:t xml:space="preserve">VALUE TO CAXTON:</w:t>
      </w:r>
    </w:p>
    <w:p>
      <w:pPr>
        <w:pStyle w:val="ListParagraph"/>
        <w:numPr>
          <w:ilvl w:val="0"/>
          <w:numId w:val="18"/>
        </w:numPr>
      </w:pPr>
      <w:r>
        <w:rPr/>
        <w:t xml:space="preserve">Systematic process for identifying macro inflection points</w:t>
      </w:r>
    </w:p>
    <w:p>
      <w:pPr>
        <w:pStyle w:val="ListParagraph"/>
        <w:numPr>
          <w:ilvl w:val="0"/>
          <w:numId w:val="19"/>
        </w:numPr>
      </w:pPr>
      <w:r>
        <w:rPr/>
        <w:t xml:space="preserve">Cross-domain synthesis (labor → credit → equities transmission chains)</w:t>
      </w:r>
    </w:p>
    <w:p>
      <w:pPr>
        <w:pStyle w:val="ListParagraph"/>
        <w:numPr>
          <w:ilvl w:val="0"/>
          <w:numId w:val="20"/>
        </w:numPr>
      </w:pPr>
      <w:r>
        <w:rPr/>
        <w:t xml:space="preserve">Production-grade research infrastructure (replicable, scalable)</w:t>
      </w:r>
    </w:p>
    <w:p>
      <w:pPr>
        <w:pStyle w:val="ListParagraph"/>
        <w:numPr>
          <w:ilvl w:val="0"/>
          <w:numId w:val="21"/>
        </w:numPr>
      </w:pPr>
      <w:r>
        <w:rPr/>
        <w:t xml:space="preserve">Demonstrated ability to take conviction-weighted positions ahead of consensus</w:t>
      </w:r>
    </w:p>
    <w:p>
      <w:pPr>
        <w:pStyle w:val="ListParagraph"/>
        <w:numPr>
          <w:ilvl w:val="0"/>
          <w:numId w:val="22"/>
        </w:numPr>
      </w:pPr>
      <w:r>
        <w:rPr/>
        <w:t xml:space="preserve">Track record of downside protection (2.35 Sortino) through regime-based positioning</w:t>
      </w:r>
    </w:p>
    <w:sect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5D72D" w14:textId="77777777" w:rsidR="00620C52" w:rsidRDefault="00620C52" w:rsidP="002422DF">
      <w:r>
        <w:separator/>
      </w:r>
    </w:p>
  </w:endnote>
  <w:endnote w:type="continuationSeparator" w:id="0">
    <w:p w14:paraId="35C86247" w14:textId="77777777" w:rsidR="00620C52" w:rsidRDefault="00620C52" w:rsidP="00242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
        <w:separator/>
      </w:r>
    </w:p>
  </w:footnote>
  <w:footnote w:type="continuationSeparator" w:id="0">
    <w:p>
      <w: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mo="http://schemas.microsoft.com/office/mac/office/2008/main" xmlns:mv="urn:schemas-microsoft-com:vml" xmlns:w10="urn:schemas-microsoft-com:office:word" xmlns:w="http://schemas.openxmlformats.org/wordprocessingml/2006/main" xmlns:wne="http://schemas.microsoft.com/office/word/2006/wordml" xmlns:wp="http://schemas.openxmlformats.org/drawingml/2006/wordprocessingDrawing" xmlns:wp14="http://schemas.microsoft.com/office/word/2010/wordprocessingDrawing" xmlns:wpc="http://schemas.microsoft.com/office/word/2010/wordprocessingCanvas"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mc:Ignorable="w14 w15 wp14">
  <w:abstractNum w:abstractNumId="9">
    <w:multiLevelType w:val="hybridMultilevel"/>
    <w:nsid w:val="11000900"/>
    <w:tmpl w:val="10100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7">
    <w:multiLevelType w:val="hybridMultilevel"/>
    <w:nsid w:val="11001700"/>
    <w:tmpl w:val="10101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8">
    <w:multiLevelType w:val="hybridMultilevel"/>
    <w:nsid w:val="11000800"/>
    <w:tmpl w:val="10100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7">
    <w:multiLevelType w:val="hybridMultilevel"/>
    <w:nsid w:val="11000700"/>
    <w:tmpl w:val="10100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6">
    <w:multiLevelType w:val="hybridMultilevel"/>
    <w:nsid w:val="11001600"/>
    <w:tmpl w:val="10101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6">
    <w:multiLevelType w:val="hybridMultilevel"/>
    <w:nsid w:val="11000600"/>
    <w:tmpl w:val="10100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2">
    <w:multiLevelType w:val="hybridMultilevel"/>
    <w:nsid w:val="11002200"/>
    <w:tmpl w:val="10102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5">
    <w:multiLevelType w:val="hybridMultilevel"/>
    <w:nsid w:val="11001500"/>
    <w:tmpl w:val="10101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
    <w:multiLevelType w:val="hybridMultilevel"/>
    <w:nsid w:val="11000500"/>
    <w:tmpl w:val="10100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
    <w:multiLevelType w:val="hybridMultilevel"/>
    <w:nsid w:val="11000400"/>
    <w:tmpl w:val="10100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4">
    <w:multiLevelType w:val="hybridMultilevel"/>
    <w:nsid w:val="11001400"/>
    <w:tmpl w:val="10101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1">
    <w:multiLevelType w:val="hybridMultilevel"/>
    <w:nsid w:val="11002100"/>
    <w:tmpl w:val="10102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
    <w:multiLevelType w:val="hybridMultilevel"/>
    <w:nsid w:val="11000300"/>
    <w:tmpl w:val="10100300"/>
    <w:lvl w:ilvl="0" w:tplc="10001300">
      <w:start w:val="3"/>
      <w:numFmt w:val="decimal"/>
      <w:lvlText w:val="%1."/>
      <w:lvlJc w:val="left"/>
      <w:pPr>
        <w:ind w:left="720" w:hanging="360"/>
      </w:pPr>
      <w:rPr>
        <w:rFonts w:hint="default"/>
      </w:rPr>
    </w:lvl>
    <w:lvl w:ilvl="1" w:tplc="10001301">
      <w:start w:val="1"/>
      <w:numFmt w:val="decimal"/>
      <w:lvlText w:val="%2."/>
      <w:lvlJc w:val="left"/>
      <w:pPr>
        <w:ind w:left="1440" w:hanging="360"/>
      </w:pPr>
    </w:lvl>
    <w:lvl w:ilvl="2" w:tplc="10001302">
      <w:start w:val="1"/>
      <w:numFmt w:val="decimal"/>
      <w:lvlText w:val="%3."/>
      <w:lvlJc w:val="left"/>
      <w:pPr>
        <w:ind w:left="2160" w:hanging="360"/>
      </w:pPr>
    </w:lvl>
    <w:lvl w:ilvl="3" w:tplc="10001303">
      <w:start w:val="1"/>
      <w:numFmt w:val="decimal"/>
      <w:lvlText w:val="%4."/>
      <w:lvlJc w:val="left"/>
      <w:pPr>
        <w:ind w:left="2880" w:hanging="360"/>
      </w:pPr>
    </w:lvl>
    <w:lvl w:ilvl="4" w:tplc="10001304">
      <w:start w:val="1"/>
      <w:numFmt w:val="decimal"/>
      <w:lvlText w:val="%5."/>
      <w:lvlJc w:val="left"/>
      <w:pPr>
        <w:ind w:left="3600" w:hanging="360"/>
      </w:pPr>
    </w:lvl>
    <w:lvl w:ilvl="5" w:tplc="10001305">
      <w:start w:val="1"/>
      <w:numFmt w:val="decimal"/>
      <w:lvlText w:val="%6."/>
      <w:lvlJc w:val="left"/>
      <w:pPr>
        <w:ind w:left="4320" w:hanging="360"/>
      </w:pPr>
    </w:lvl>
    <w:lvl w:ilvl="6" w:tplc="10001306">
      <w:start w:val="1"/>
      <w:numFmt w:val="decimal"/>
      <w:lvlText w:val="%7."/>
      <w:lvlJc w:val="left"/>
      <w:pPr>
        <w:ind w:left="5040" w:hanging="360"/>
      </w:pPr>
    </w:lvl>
    <w:lvl w:ilvl="7" w:tplc="10001307">
      <w:start w:val="1"/>
      <w:numFmt w:val="decimal"/>
      <w:lvlText w:val="%8."/>
      <w:lvlJc w:val="left"/>
      <w:pPr>
        <w:ind w:left="5760" w:hanging="360"/>
      </w:pPr>
    </w:lvl>
    <w:lvl w:ilvl="8" w:tplc="10001308">
      <w:start w:val="1"/>
      <w:numFmt w:val="decimal"/>
      <w:lvlText w:val="%9."/>
      <w:lvlJc w:val="left"/>
      <w:pPr>
        <w:ind w:left="6480" w:hanging="360"/>
      </w:pPr>
    </w:lvl>
  </w:abstractNum>
  <w:abstractNum w:abstractNumId="13">
    <w:multiLevelType w:val="hybridMultilevel"/>
    <w:nsid w:val="11001300"/>
    <w:tmpl w:val="10101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multiLevelType w:val="hybridMultilevel"/>
    <w:nsid w:val="11000200"/>
    <w:tmpl w:val="10100200"/>
    <w:lvl w:ilvl="0" w:tplc="10001200">
      <w:start w:val="2"/>
      <w:numFmt w:val="decimal"/>
      <w:lvlText w:val="%1."/>
      <w:lvlJc w:val="left"/>
      <w:pPr>
        <w:ind w:left="720" w:hanging="360"/>
      </w:pPr>
      <w:rPr>
        <w:rFonts w:hint="default"/>
      </w:rPr>
    </w:lvl>
    <w:lvl w:ilvl="1" w:tplc="10001201">
      <w:start w:val="1"/>
      <w:numFmt w:val="decimal"/>
      <w:lvlText w:val="%2."/>
      <w:lvlJc w:val="left"/>
      <w:pPr>
        <w:ind w:left="1440" w:hanging="360"/>
      </w:pPr>
    </w:lvl>
    <w:lvl w:ilvl="2" w:tplc="10001202">
      <w:start w:val="1"/>
      <w:numFmt w:val="decimal"/>
      <w:lvlText w:val="%3."/>
      <w:lvlJc w:val="left"/>
      <w:pPr>
        <w:ind w:left="2160" w:hanging="360"/>
      </w:pPr>
    </w:lvl>
    <w:lvl w:ilvl="3" w:tplc="10001203">
      <w:start w:val="1"/>
      <w:numFmt w:val="decimal"/>
      <w:lvlText w:val="%4."/>
      <w:lvlJc w:val="left"/>
      <w:pPr>
        <w:ind w:left="2880" w:hanging="360"/>
      </w:pPr>
    </w:lvl>
    <w:lvl w:ilvl="4" w:tplc="10001204">
      <w:start w:val="1"/>
      <w:numFmt w:val="decimal"/>
      <w:lvlText w:val="%5."/>
      <w:lvlJc w:val="left"/>
      <w:pPr>
        <w:ind w:left="3600" w:hanging="360"/>
      </w:pPr>
    </w:lvl>
    <w:lvl w:ilvl="5" w:tplc="10001205">
      <w:start w:val="1"/>
      <w:numFmt w:val="decimal"/>
      <w:lvlText w:val="%6."/>
      <w:lvlJc w:val="left"/>
      <w:pPr>
        <w:ind w:left="4320" w:hanging="360"/>
      </w:pPr>
    </w:lvl>
    <w:lvl w:ilvl="6" w:tplc="10001206">
      <w:start w:val="1"/>
      <w:numFmt w:val="decimal"/>
      <w:lvlText w:val="%7."/>
      <w:lvlJc w:val="left"/>
      <w:pPr>
        <w:ind w:left="5040" w:hanging="360"/>
      </w:pPr>
    </w:lvl>
    <w:lvl w:ilvl="7" w:tplc="10001207">
      <w:start w:val="1"/>
      <w:numFmt w:val="decimal"/>
      <w:lvlText w:val="%8."/>
      <w:lvlJc w:val="left"/>
      <w:pPr>
        <w:ind w:left="5760" w:hanging="360"/>
      </w:pPr>
    </w:lvl>
    <w:lvl w:ilvl="8" w:tplc="10001208">
      <w:start w:val="1"/>
      <w:numFmt w:val="decimal"/>
      <w:lvlText w:val="%9."/>
      <w:lvlJc w:val="left"/>
      <w:pPr>
        <w:ind w:left="6480" w:hanging="360"/>
      </w:pPr>
    </w:lvl>
  </w:abstractNum>
  <w:abstractNum w:abstractNumId="20">
    <w:multiLevelType w:val="hybridMultilevel"/>
    <w:nsid w:val="11002000"/>
    <w:tmpl w:val="10102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multiLevelType w:val="hybridMultilevel"/>
    <w:nsid w:val="11000100"/>
    <w:tmpl w:val="10100100"/>
    <w:lvl w:ilvl="0" w:tplc="10001100">
      <w:start w:val="1"/>
      <w:numFmt w:val="decimal"/>
      <w:lvlText w:val="%1."/>
      <w:lvlJc w:val="left"/>
      <w:pPr>
        <w:ind w:left="720" w:hanging="360"/>
      </w:pPr>
      <w:rPr>
        <w:rFonts w:hint="default"/>
      </w:rPr>
    </w:lvl>
    <w:lvl w:ilvl="1" w:tplc="10001101">
      <w:start w:val="1"/>
      <w:numFmt w:val="decimal"/>
      <w:lvlText w:val="%2."/>
      <w:lvlJc w:val="left"/>
      <w:pPr>
        <w:ind w:left="1440" w:hanging="360"/>
      </w:pPr>
    </w:lvl>
    <w:lvl w:ilvl="2" w:tplc="10001102">
      <w:start w:val="1"/>
      <w:numFmt w:val="decimal"/>
      <w:lvlText w:val="%3."/>
      <w:lvlJc w:val="left"/>
      <w:pPr>
        <w:ind w:left="2160" w:hanging="360"/>
      </w:pPr>
    </w:lvl>
    <w:lvl w:ilvl="3" w:tplc="10001103">
      <w:start w:val="1"/>
      <w:numFmt w:val="decimal"/>
      <w:lvlText w:val="%4."/>
      <w:lvlJc w:val="left"/>
      <w:pPr>
        <w:ind w:left="2880" w:hanging="360"/>
      </w:pPr>
    </w:lvl>
    <w:lvl w:ilvl="4" w:tplc="10001104">
      <w:start w:val="1"/>
      <w:numFmt w:val="decimal"/>
      <w:lvlText w:val="%5."/>
      <w:lvlJc w:val="left"/>
      <w:pPr>
        <w:ind w:left="3600" w:hanging="360"/>
      </w:pPr>
    </w:lvl>
    <w:lvl w:ilvl="5" w:tplc="10001105">
      <w:start w:val="1"/>
      <w:numFmt w:val="decimal"/>
      <w:lvlText w:val="%6."/>
      <w:lvlJc w:val="left"/>
      <w:pPr>
        <w:ind w:left="4320" w:hanging="360"/>
      </w:pPr>
    </w:lvl>
    <w:lvl w:ilvl="6" w:tplc="10001106">
      <w:start w:val="1"/>
      <w:numFmt w:val="decimal"/>
      <w:lvlText w:val="%7."/>
      <w:lvlJc w:val="left"/>
      <w:pPr>
        <w:ind w:left="5040" w:hanging="360"/>
      </w:pPr>
    </w:lvl>
    <w:lvl w:ilvl="7" w:tplc="10001107">
      <w:start w:val="1"/>
      <w:numFmt w:val="decimal"/>
      <w:lvlText w:val="%8."/>
      <w:lvlJc w:val="left"/>
      <w:pPr>
        <w:ind w:left="5760" w:hanging="360"/>
      </w:pPr>
    </w:lvl>
    <w:lvl w:ilvl="8" w:tplc="10001108">
      <w:start w:val="1"/>
      <w:numFmt w:val="decimal"/>
      <w:lvlText w:val="%9."/>
      <w:lvlJc w:val="left"/>
      <w:pPr>
        <w:ind w:left="6480" w:hanging="360"/>
      </w:pPr>
    </w:lvl>
  </w:abstractNum>
  <w:abstractNum w:abstractNumId="12">
    <w:multiLevelType w:val="hybridMultilevel"/>
    <w:nsid w:val="11001200"/>
    <w:tmpl w:val="10101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1">
    <w:multiLevelType w:val="hybridMultilevel"/>
    <w:nsid w:val="11001100"/>
    <w:tmpl w:val="10101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9">
    <w:multiLevelType w:val="hybridMultilevel"/>
    <w:nsid w:val="11001900"/>
    <w:tmpl w:val="10101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0">
    <w:multiLevelType w:val="hybridMultilevel"/>
    <w:nsid w:val="11001000"/>
    <w:tmpl w:val="10101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8">
    <w:multiLevelType w:val="hybridMultilevel"/>
    <w:nsid w:val="11001800"/>
    <w:tmpl w:val="10101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9">
    <w:abstractNumId w:val="9"/>
  </w:num>
  <w:num w:numId="17">
    <w:abstractNumId w:val="17"/>
  </w:num>
  <w:num w:numId="8">
    <w:abstractNumId w:val="8"/>
  </w:num>
  <w:num w:numId="7">
    <w:abstractNumId w:val="7"/>
  </w:num>
  <w:num w:numId="16">
    <w:abstractNumId w:val="16"/>
  </w:num>
  <w:num w:numId="6">
    <w:abstractNumId w:val="6"/>
  </w:num>
  <w:num w:numId="22">
    <w:abstractNumId w:val="22"/>
  </w:num>
  <w:num w:numId="15">
    <w:abstractNumId w:val="15"/>
  </w:num>
  <w:num w:numId="5">
    <w:abstractNumId w:val="5"/>
  </w:num>
  <w:num w:numId="4">
    <w:abstractNumId w:val="4"/>
  </w:num>
  <w:num w:numId="14">
    <w:abstractNumId w:val="14"/>
  </w:num>
  <w:num w:numId="21">
    <w:abstractNumId w:val="21"/>
  </w:num>
  <w:num w:numId="3">
    <w:abstractNumId w:val="3"/>
  </w:num>
  <w:num w:numId="13">
    <w:abstractNumId w:val="13"/>
  </w:num>
  <w:num w:numId="2">
    <w:abstractNumId w:val="2"/>
  </w:num>
  <w:num w:numId="20">
    <w:abstractNumId w:val="20"/>
  </w:num>
  <w:num w:numId="1">
    <w:abstractNumId w:val="1"/>
  </w:num>
  <w:num w:numId="12">
    <w:abstractNumId w:val="12"/>
  </w:num>
  <w:num w:numId="11">
    <w:abstractNumId w:val="11"/>
  </w:num>
  <w:num w:numId="19">
    <w:abstractNumId w:val="19"/>
  </w:num>
  <w:num w:numId="10">
    <w:abstractNumId w:val="10"/>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embedSystemFonts/>
  <w:activeWritingStyle w:appName="MSWord" w:lang="en-US" w:vendorID="64" w:dllVersion="131078" w:nlCheck="1" w:checkStyle="0"/>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A55"/>
    <w:rsid w:val="00017BBC"/>
    <w:rsid w:val="000B0D42"/>
    <w:rsid w:val="00185B30"/>
    <w:rsid w:val="002B7A55"/>
    <w:rsid w:val="002D272D"/>
    <w:rsid w:val="0032417C"/>
    <w:rsid w:val="003A634A"/>
    <w:rsid w:val="003B458B"/>
    <w:rsid w:val="003F7B03"/>
    <w:rsid w:val="00403EF4"/>
    <w:rsid w:val="004A3A54"/>
    <w:rsid w:val="00573674"/>
    <w:rsid w:val="0057740A"/>
    <w:rsid w:val="00583CB3"/>
    <w:rsid w:val="00595F40"/>
    <w:rsid w:val="005F2A4D"/>
    <w:rsid w:val="006B37E3"/>
    <w:rsid w:val="006C3F6A"/>
    <w:rsid w:val="007C6E76"/>
    <w:rsid w:val="00813340"/>
    <w:rsid w:val="00837830"/>
    <w:rsid w:val="00933990"/>
    <w:rsid w:val="00B230FC"/>
    <w:rsid w:val="00B808CD"/>
    <w:rsid w:val="00BF5279"/>
    <w:rsid w:val="00F129A8"/>
    <w:rsid w:val="00F50F40"/>
    <w:rsid w:val="00FA1E7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00001"/>
  <w15:docId w15:val="{00000000-0000-0000-0000-00000000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it-IT" w:bidi="ar-SA"/>
      </w:rPr>
    </w:rPrDefault>
    <w:pPrDefault/>
  </w:docDefaults>
  <w:latentStyles w:defLockedState="0" w:defUIPriority="0" w:defSemiHidden="0" w:defUnhideWhenUsed="0" w:defQFormat="0" w:count="380">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Grid" w:uiPriority="39"/>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3674"/>
    <w:pPr>
      <w:suppressAutoHyphens/>
    </w:pPr>
    <w:rPr>
      <w:rFonts w:ascii="Arial" w:eastAsia="Arial Unicode MS" w:hAnsi="Arial" w:cs="Cambria"/>
      <w:lang w:eastAsia="en-US"/>
    </w:rPr>
  </w:style>
  <w:style w:type="paragraph" w:styleId="Heading1">
    <w:name w:val="heading 1"/>
    <w:basedOn w:val="Header"/>
    <w:next w:val="Header"/>
    <w:link w:val="Heading1Char"/>
    <w:qFormat/>
    <w:rsid w:val="007C6E76"/>
    <w:pPr>
      <w:keepNext/>
      <w:keepLines/>
      <w:spacing w:before="240"/>
      <w:outlineLvl w:val="0"/>
    </w:pPr>
    <w:rPr>
      <w:rFonts w:eastAsiaTheme="majorEastAsia" w:cstheme="majorBidi"/>
      <w:color w:val="323232"/>
      <w:sz w:val="42"/>
      <w:szCs w:val="32"/>
    </w:rPr>
  </w:style>
  <w:style w:type="paragraph" w:styleId="Heading2">
    <w:name w:val="heading 2"/>
    <w:basedOn w:val="Header"/>
    <w:link w:val="Heading2Char"/>
    <w:qFormat/>
    <w:rsid w:val="007C6E76"/>
    <w:pPr>
      <w:keepNext/>
      <w:keepLines/>
      <w:spacing w:before="40"/>
      <w:outlineLvl w:val="1"/>
    </w:pPr>
    <w:rPr>
      <w:rFonts w:eastAsiaTheme="majorEastAsia" w:cstheme="majorBidi"/>
      <w:color w:val="323232"/>
      <w:sz w:val="36"/>
      <w:szCs w:val="26"/>
    </w:rPr>
  </w:style>
  <w:style w:type="paragraph" w:styleId="Heading3">
    <w:name w:val="heading 3"/>
    <w:basedOn w:val="Header"/>
    <w:link w:val="Heading3Char"/>
    <w:qFormat/>
    <w:rsid w:val="007C6E76"/>
    <w:pPr>
      <w:keepNext/>
      <w:keepLines/>
      <w:spacing w:before="40"/>
      <w:outlineLvl w:val="2"/>
    </w:pPr>
    <w:rPr>
      <w:rFonts w:eastAsiaTheme="majorEastAsia" w:cstheme="majorBidi"/>
      <w:color w:val="323232"/>
      <w:sz w:val="30"/>
    </w:rPr>
  </w:style>
  <w:style w:type="paragraph" w:styleId="Heading4">
    <w:name w:val="heading 4"/>
    <w:basedOn w:val="Header"/>
    <w:link w:val="Heading4Char"/>
    <w:rsid w:val="007C6E76"/>
    <w:pPr>
      <w:keepNext/>
      <w:keepLines/>
      <w:spacing w:before="40"/>
      <w:outlineLvl w:val="3"/>
    </w:pPr>
    <w:rPr>
      <w:rFonts w:eastAsiaTheme="majorEastAsia" w:cstheme="majorBidi"/>
      <w:iCs/>
      <w:color w:val="323232"/>
      <w:sz w:val="28"/>
    </w:rPr>
  </w:style>
  <w:style w:type="paragraph" w:styleId="Heading5">
    <w:name w:val="heading 5"/>
    <w:basedOn w:val="Header"/>
    <w:link w:val="Heading5Char"/>
    <w:rsid w:val="007C6E76"/>
    <w:pPr>
      <w:keepNext/>
      <w:keepLines/>
      <w:spacing w:before="40"/>
      <w:outlineLvl w:val="4"/>
    </w:pPr>
    <w:rPr>
      <w:rFonts w:eastAsiaTheme="majorEastAsia" w:cstheme="majorBidi"/>
      <w:color w:val="323232"/>
      <w:sz w:val="28"/>
    </w:rPr>
  </w:style>
  <w:style w:type="paragraph" w:styleId="Heading6">
    <w:name w:val="heading 6"/>
    <w:basedOn w:val="Header"/>
    <w:link w:val="Heading6Char"/>
    <w:rsid w:val="007C6E76"/>
    <w:pPr>
      <w:keepNext/>
      <w:keepLines/>
      <w:spacing w:before="40"/>
      <w:outlineLvl w:val="5"/>
    </w:pPr>
    <w:rPr>
      <w:rFonts w:eastAsiaTheme="majorEastAsia" w:cstheme="majorBidi"/>
      <w:color w:val="323232"/>
      <w:sz w:val="28"/>
    </w:rPr>
  </w:style>
  <w:style w:type="paragraph" w:styleId="Heading7">
    <w:name w:val="heading 7"/>
    <w:basedOn w:val="Normal"/>
    <w:next w:val="Normal"/>
    <w:link w:val="Heading7Char"/>
    <w:unhideWhenUsed/>
    <w:rsid w:val="007C6E76"/>
    <w:pPr>
      <w:keepNext/>
      <w:keepLines/>
      <w:spacing w:before="40"/>
      <w:outlineLvl w:val="6"/>
    </w:pPr>
    <w:rPr>
      <w:rFonts w:eastAsiaTheme="majorEastAsia" w:cstheme="majorBidi"/>
      <w:iCs/>
      <w:color w:val="323232"/>
    </w:rPr>
  </w:style>
  <w:style w:type="paragraph" w:styleId="Heading8">
    <w:name w:val="heading 8"/>
    <w:basedOn w:val="Header"/>
    <w:next w:val="Heading7"/>
    <w:link w:val="Heading8Char"/>
    <w:semiHidden/>
    <w:unhideWhenUsed/>
    <w:rsid w:val="007C6E76"/>
    <w:pPr>
      <w:keepNext/>
      <w:keepLines/>
      <w:spacing w:before="40"/>
      <w:outlineLvl w:val="7"/>
    </w:pPr>
    <w:rPr>
      <w:rFonts w:eastAsiaTheme="majorEastAsia" w:cstheme="majorBidi"/>
      <w:color w:val="323232"/>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C6E76"/>
    <w:rPr>
      <w:rFonts w:ascii="Arial" w:eastAsiaTheme="majorEastAsia" w:hAnsi="Arial" w:cstheme="majorBidi"/>
      <w:color w:val="323232"/>
      <w:sz w:val="30"/>
      <w:lang w:eastAsia="en-US"/>
    </w:rPr>
  </w:style>
  <w:style w:type="paragraph" w:customStyle="1" w:styleId="CodeBlock">
    <w:name w:val="Code Block"/>
    <w:basedOn w:val="Normal"/>
    <w:qFormat/>
    <w:rsid w:val="00813340"/>
    <w:rPr>
      <w:rFonts w:eastAsia="Arial" w:cs="Arial"/>
      <w:color w:val="424242"/>
    </w:rPr>
  </w:style>
  <w:style w:type="character" w:customStyle="1" w:styleId="Heading4Char">
    <w:name w:val="Heading 4 Char"/>
    <w:basedOn w:val="DefaultParagraphFont"/>
    <w:link w:val="Heading4"/>
    <w:rsid w:val="007C6E76"/>
    <w:rPr>
      <w:rFonts w:ascii="Arial" w:eastAsiaTheme="majorEastAsia" w:hAnsi="Arial" w:cstheme="majorBidi"/>
      <w:iCs/>
      <w:color w:val="323232"/>
      <w:sz w:val="28"/>
      <w:lang w:eastAsia="en-US"/>
    </w:rPr>
  </w:style>
  <w:style w:type="paragraph" w:customStyle="1" w:styleId="Index">
    <w:name w:val="Index"/>
    <w:basedOn w:val="Normal"/>
    <w:rsid w:val="002B7A55"/>
    <w:pPr>
      <w:suppressLineNumbers/>
    </w:pPr>
  </w:style>
  <w:style w:type="paragraph" w:styleId="Header">
    <w:name w:val="header"/>
    <w:basedOn w:val="Normal"/>
    <w:link w:val="HeaderChar"/>
    <w:semiHidden/>
    <w:unhideWhenUsed/>
    <w:rsid w:val="00017BBC"/>
    <w:pPr>
      <w:tabs>
        <w:tab w:val="center" w:pos="4819"/>
        <w:tab w:val="right" w:pos="9638"/>
      </w:tabs>
    </w:pPr>
  </w:style>
  <w:style w:type="character" w:customStyle="1" w:styleId="HeaderChar">
    <w:name w:val="Header Char"/>
    <w:basedOn w:val="DefaultParagraphFont"/>
    <w:link w:val="Header"/>
    <w:semiHidden/>
    <w:rsid w:val="00017BBC"/>
    <w:rPr>
      <w:rFonts w:ascii="Cambria" w:eastAsia="Arial Unicode MS" w:hAnsi="Cambria" w:cs="Cambria"/>
      <w:lang w:eastAsia="en-US"/>
    </w:rPr>
  </w:style>
  <w:style w:type="character" w:customStyle="1" w:styleId="Heading5Char">
    <w:name w:val="Heading 5 Char"/>
    <w:basedOn w:val="DefaultParagraphFont"/>
    <w:link w:val="Heading5"/>
    <w:rsid w:val="007C6E76"/>
    <w:rPr>
      <w:rFonts w:ascii="Arial" w:eastAsiaTheme="majorEastAsia" w:hAnsi="Arial" w:cstheme="majorBidi"/>
      <w:color w:val="323232"/>
      <w:sz w:val="28"/>
      <w:lang w:eastAsia="en-US"/>
    </w:rPr>
  </w:style>
  <w:style w:type="character" w:customStyle="1" w:styleId="Heading2Char">
    <w:name w:val="Heading 2 Char"/>
    <w:basedOn w:val="DefaultParagraphFont"/>
    <w:link w:val="Heading2"/>
    <w:rsid w:val="007C6E76"/>
    <w:rPr>
      <w:rFonts w:ascii="Arial" w:eastAsiaTheme="majorEastAsia" w:hAnsi="Arial" w:cstheme="majorBidi"/>
      <w:color w:val="323232"/>
      <w:sz w:val="36"/>
      <w:szCs w:val="26"/>
      <w:lang w:eastAsia="en-US"/>
    </w:rPr>
  </w:style>
  <w:style w:type="character" w:customStyle="1" w:styleId="Heading1Char">
    <w:name w:val="Heading 1 Char"/>
    <w:basedOn w:val="DefaultParagraphFont"/>
    <w:link w:val="Heading1"/>
    <w:rsid w:val="007C6E76"/>
    <w:rPr>
      <w:rFonts w:ascii="Arial" w:eastAsiaTheme="majorEastAsia" w:hAnsi="Arial" w:cstheme="majorBidi"/>
      <w:color w:val="323232"/>
      <w:sz w:val="42"/>
      <w:szCs w:val="32"/>
      <w:lang w:eastAsia="en-US"/>
    </w:rPr>
  </w:style>
  <w:style w:type="character" w:customStyle="1" w:styleId="Heading6Char">
    <w:name w:val="Heading 6 Char"/>
    <w:basedOn w:val="DefaultParagraphFont"/>
    <w:link w:val="Heading6"/>
    <w:rsid w:val="007C6E76"/>
    <w:rPr>
      <w:rFonts w:ascii="Arial" w:eastAsiaTheme="majorEastAsia" w:hAnsi="Arial" w:cstheme="majorBidi"/>
      <w:color w:val="323232"/>
      <w:sz w:val="28"/>
      <w:lang w:eastAsia="en-US"/>
    </w:rPr>
  </w:style>
  <w:style w:type="character" w:customStyle="1" w:styleId="Heading7Char">
    <w:name w:val="Heading 7 Char"/>
    <w:basedOn w:val="DefaultParagraphFont"/>
    <w:link w:val="Heading7"/>
    <w:rsid w:val="007C6E76"/>
    <w:rPr>
      <w:rFonts w:ascii="Arial" w:eastAsiaTheme="majorEastAsia" w:hAnsi="Arial" w:cstheme="majorBidi"/>
      <w:iCs/>
      <w:color w:val="323232"/>
      <w:lang w:eastAsia="en-US"/>
    </w:rPr>
  </w:style>
  <w:style w:type="character" w:customStyle="1" w:styleId="Heading8Char">
    <w:name w:val="Heading 8 Char"/>
    <w:basedOn w:val="DefaultParagraphFont"/>
    <w:link w:val="Heading8"/>
    <w:semiHidden/>
    <w:rsid w:val="007C6E76"/>
    <w:rPr>
      <w:rFonts w:ascii="Arial" w:eastAsiaTheme="majorEastAsia" w:hAnsi="Arial" w:cstheme="majorBidi"/>
      <w:color w:val="323232"/>
      <w:sz w:val="21"/>
      <w:szCs w:val="21"/>
      <w:lang w:eastAsia="en-US"/>
    </w:rPr>
  </w:style>
  <w:style w:type="character" w:styleId="Hyperlink">
    <w:name w:val="Hyperlink"/>
    <w:basedOn w:val="DefaultParagraphFont"/>
    <w:qFormat/>
    <w:rsid w:val="0057740A"/>
    <w:rPr>
      <w:color w:val="0000FF" w:themeColor="hyperlink"/>
      <w:u w:val="single"/>
    </w:rPr>
  </w:style>
  <w:style w:type="paragraph" w:styleId="ListParagraph">
    <w:name w:val="List Paragraph"/>
    <w:basedOn w:val="Normal"/>
    <w:rsid w:val="00B808CD"/>
    <w:pPr>
      <w:ind w:left="720"/>
      <w:contextualSpacing/>
    </w:pPr>
  </w:style>
  <w:style w:type="paragraph" w:styleId="Quote">
    <w:name w:val="Quote"/>
    <w:basedOn w:val="Normal"/>
    <w:next w:val="Normal"/>
    <w:link w:val="QuoteChar"/>
    <w:rsid w:val="00595F40"/>
    <w:pPr>
      <w:spacing w:before="200" w:after="160"/>
      <w:ind w:left="864" w:right="864"/>
      <w:jc w:val="center"/>
    </w:pPr>
    <w:rPr>
      <w:iCs/>
      <w:color w:val="404040" w:themeColor="text1" w:themeTint="BF"/>
    </w:rPr>
  </w:style>
  <w:style w:type="character" w:customStyle="1" w:styleId="QuoteChar">
    <w:name w:val="Quote Char"/>
    <w:basedOn w:val="DefaultParagraphFont"/>
    <w:link w:val="Quote"/>
    <w:rsid w:val="00595F40"/>
    <w:rPr>
      <w:rFonts w:ascii="Arial" w:eastAsia="Arial Unicode MS" w:hAnsi="Arial" w:cs="Cambria"/>
      <w:i/>
      <w:iCs/>
      <w:color w:val="404040" w:themeColor="text1" w:themeTint="BF"/>
      <w:lang w:eastAsia="en-US"/>
    </w:rPr>
  </w:style>
  <w:style w:type="paragraph" w:styleId="FootnoteText">
    <w:name w:val="footnote text"/>
    <w:basedOn w:val="Normal"/>
    <w:link w:val="FootnoteTextChar"/>
    <w:uiPriority w:val="99"/>
    <w:semiHidden/>
    <w:unhideWhenUsed/>
    <w:rsid w:val="002422DF"/>
    <w:rPr>
      <w:sz w:val="20"/>
      <w:szCs w:val="20"/>
    </w:rPr>
  </w:style>
  <w:style w:type="character" w:customStyle="1" w:styleId="FootnoteTextChar">
    <w:name w:val="Footnote Text Char"/>
    <w:basedOn w:val="DefaultParagraphFont"/>
    <w:link w:val="FootnoteText"/>
    <w:uiPriority w:val="99"/>
    <w:semiHidden/>
    <w:rsid w:val="002422DF"/>
    <w:rPr>
      <w:sz w:val="20"/>
      <w:szCs w:val="20"/>
    </w:rPr>
  </w:style>
  <w:style w:type="character" w:styleId="FootnoteReference">
    <w:name w:val="footnote reference"/>
    <w:basedOn w:val="DefaultParagraphFont"/>
    <w:uiPriority w:val="99"/>
    <w:semiHidden/>
    <w:unhideWhenUsed/>
    <w:rsid w:val="002422DF"/>
    <w:rPr>
      <w:vertAlign w:val="superscript"/>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3A61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doNotSaveAsSingleFile/>
</w:webSettings>
</file>

<file path=word/_rels/document.xml.rels><?xml version="1.0"?>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Bear</Application>
  <DocSecurity>0</DocSecurity>
  <Lines>0</Lines>
  <Paragraphs>0</Paragraphs>
  <ScaleCrop>false</ScaleCrop>
  <HeadingPairs>
    <vt:vector size="2" baseType="variant">
      <vt:variant>
        <vt:lpstr>Document</vt:lpstr>
      </vt:variant>
      <vt:variant>
        <vt:i4>1</vt:i4>
      </vt:variant>
    </vt:vector>
  </HeadingPairs>
  <TitlesOfParts>
    <vt:vector size="1" baseType="lpstr">
      <vt:lpstr/>
    </vt:vector>
  </TitlesOfParts>
  <LinksUpToDate>false</LinksUpToDate>
  <CharactersWithSpaces>0</CharactersWithSpaces>
  <SharedDoc>false</SharedDoc>
  <HyperlinksChanged>false</HyperlinksChanged>
  <AppVersion>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Shiny User</cp:lastModifiedBy>
  <cp:revision>1</cp:revision>
  <dcterms:created xsi:type="dcterms:W3CDTF">2025-12-18T11:00:09Z</dcterms:created>
  <dcterms:modified xsi:type="dcterms:W3CDTF">2025-12-18T11:00:25Z</dcterms:modified>
</cp:coreProperties>
</file>