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0" w:type="default"/>
    </w:sectPr>
    <w:p>
      <w:pPr>
        <w:pStyle w:val="Heading4"/>
        <w:spacing w:line="480" w:lineRule="auto"/>
      </w:pPr>
      <w:r>
        <w:rPr>
          <w:sz w:val="36"/>
        </w:rPr>
        <w:t xml:space="preserve">Crypto Market Pulse: Your Daily Intelligence Briefing</w:t>
      </w:r>
    </w:p>
    <w:p>
      <w:pPr>
        <w:pStyle w:val="Heading3"/>
        <w:spacing w:lineRule="auto"/>
      </w:pPr>
      <w:r>
        <w:rPr>
          <w:b/>
        </w:rPr>
        <w:t xml:space="preserve">Key Insights from the Cryptocurrency Market Report</w:t>
      </w:r>
    </w:p>
    <w:p>
      <w:pPr>
        <w:numPr>
          <w:ilvl w:val="0"/>
          <w:numId w:val="1"/>
        </w:numPr>
        <w:spacing w:lineRule="auto"/>
      </w:pPr>
      <w:r>
        <w:rPr>
          <w:b/>
        </w:rPr>
        <w:t xml:space="preserve">Bitcoin (BTC)</w:t>
      </w:r>
      <w:r>
        <w:rPr/>
        <w:t xml:space="preserve"> maintains its dominance with a market cap of </w:t>
      </w:r>
      <w:r>
        <w:rPr>
          <w:b/>
        </w:rPr>
        <w:t xml:space="preserve">$1.79 trillion</w:t>
      </w:r>
      <w:r>
        <w:rPr/>
        <w:t xml:space="preserve">, despite a </w:t>
      </w:r>
      <w:r>
        <w:rPr>
          <w:b/>
        </w:rPr>
        <w:t xml:space="preserve">2.37%</w:t>
      </w:r>
      <w:r>
        <w:rPr/>
        <w:t xml:space="preserve"> price drop in the last 24 hours.</w:t>
      </w:r>
    </w:p>
    <w:p>
      <w:pPr>
        <w:numPr>
          <w:ilvl w:val="0"/>
          <w:numId w:val="1"/>
        </w:numPr>
        <w:spacing w:lineRule="auto"/>
      </w:pPr>
      <w:r>
        <w:rPr>
          <w:b/>
        </w:rPr>
        <w:t xml:space="preserve">Ethereum (ETH)</w:t>
      </w:r>
      <w:r>
        <w:rPr/>
        <w:t xml:space="preserve"> faces a </w:t>
      </w:r>
      <w:r>
        <w:rPr>
          <w:b/>
        </w:rPr>
        <w:t xml:space="preserve">3.63%</w:t>
      </w:r>
      <w:r>
        <w:rPr/>
        <w:t xml:space="preserve"> decline, with net ETF outflows of </w:t>
      </w:r>
      <w:r>
        <w:rPr>
          <w:b/>
        </w:rPr>
        <w:t xml:space="preserve">-$98.3 million</w:t>
      </w:r>
      <w:r>
        <w:rPr/>
        <w:t xml:space="preserve">, indicating cautious investor sentiment.</w:t>
      </w:r>
    </w:p>
    <w:p>
      <w:pPr>
        <w:numPr>
          <w:ilvl w:val="0"/>
          <w:numId w:val="1"/>
        </w:numPr>
        <w:spacing w:lineRule="auto"/>
      </w:pPr>
      <w:r>
        <w:rPr>
          <w:b/>
        </w:rPr>
        <w:t xml:space="preserve">Solana (SOL)</w:t>
      </w:r>
      <w:r>
        <w:rPr/>
        <w:t xml:space="preserve"> shows rising interest in derivatives with a </w:t>
      </w:r>
      <w:r>
        <w:rPr>
          <w:b/>
        </w:rPr>
        <w:t xml:space="preserve">1.92%</w:t>
      </w:r>
      <w:r>
        <w:rPr/>
        <w:t xml:space="preserve"> increase in open interest, even amidst a </w:t>
      </w:r>
      <w:r>
        <w:rPr>
          <w:b/>
        </w:rPr>
        <w:t xml:space="preserve">3.06%</w:t>
      </w:r>
      <w:r>
        <w:rPr/>
        <w:t xml:space="preserve"> price decrease.</w:t>
      </w:r>
    </w:p>
    <w:p>
      <w:pPr>
        <w:spacing w:lineRule="auto"/>
      </w:pPr>
      <w:r>
        <w:rPr>
          <w:b/>
        </w:rPr>
        <w:t xml:space="preserve">Explore insights on Bitcoin, Ethereum, Solana, and more!</w:t>
      </w:r>
    </w:p>
    <w:p>
      <w:pPr>
        <w:pStyle w:val="Heading3"/>
        <w:spacing w:lineRule="auto"/>
      </w:pPr>
      <w:r>
        <w:rPr>
          <w:b/>
        </w:rPr>
        <w:t xml:space="preserve">Cryptocurrency Market &amp; Financial Analysis Report: January 8, 2026</w:t>
      </w:r>
    </w:p>
    <w:p>
      <w:pPr>
        <w:spacing w:lineRule="auto"/>
      </w:pPr>
      <w:r>
        <w:rPr/>
        <w:t xml:space="preserve">This report provides a comprehensive overview of the cryptocurrency market, combining key financial metrics, ETF flow data, stablecoin activity, and significant market-moving news as of Thursday, January 8, 2026.</w:t>
      </w:r>
    </w:p>
    <w:p>
      <w:pPr>
        <w:pStyle w:val="Heading4"/>
        <w:spacing w:lineRule="auto"/>
      </w:pPr>
      <w:r>
        <w:rPr>
          <w:b/>
        </w:rPr>
        <w:t xml:space="preserve">Cryptocurrency Market Snapshot: BTC, ETH, and SOL</w:t>
      </w:r>
    </w:p>
    <w:p>
      <w:pPr>
        <w:spacing w:lineRule="auto"/>
      </w:pPr>
      <w:r>
        <w:rPr/>
        <w:t xml:space="preserve">The cryptocurrency market is showing notable trends across major assets. Bitcoin (BTC) maintains its dominance, while Ethereum (ETH) and Solana (SOL) are also experiencing significant activity.</w:t>
      </w:r>
    </w:p>
    <w:tbl>
      <w:tblPr>
        <w:tblCellMar>
          <w:top w:type="dxa" w:w="80"/>
          <w:bottom w:type="dxa" w:w="80"/>
          <w:left w:type="dxa" w:w="160"/>
          <w:right w:type="dxa" w:w="160"/>
        </w:tblCellMar>
        <w:jc w:val="center"/>
      </w:tblPr>
      <w:tblGrid>
        <w:gridCol w:w="2160"/>
        <w:gridCol w:w="2160"/>
        <w:gridCol w:w="2160"/>
        <w:gridCol w:w="2160"/>
      </w:tblGrid>
      <w:tr>
        <w:trPr>
          <w:cantSplit/>
        </w:trPr>
        <w:tc>
          <w:tcPr>
            <w:tcBorders>
              <w:top w:val="000000" w:sz="1" w:space="0" w:color="single"/>
              <w:left w:val="000000" w:sz="1" w:space="0" w:color="single"/>
            </w:tcBorders>
          </w:tcPr>
          <w:p>
            <w:pPr>
              <w:jc w:val="left"/>
              <w:spacing w:lineRule="auto"/>
            </w:pPr>
            <w:r>
              <w:rPr/>
              <w:t xml:space="preserve">Metric</w:t>
            </w:r>
          </w:p>
        </w:tc>
        <w:tc>
          <w:tcPr>
            <w:tcBorders>
              <w:top w:val="000000" w:sz="1" w:space="0" w:color="single"/>
              <w:left w:val="000000" w:sz="1" w:space="0" w:color="single"/>
            </w:tcBorders>
          </w:tcPr>
          <w:p>
            <w:pPr>
              <w:jc w:val="left"/>
              <w:spacing w:lineRule="auto"/>
            </w:pPr>
            <w:r>
              <w:rPr/>
              <w:t xml:space="preserve">BTC</w:t>
            </w:r>
          </w:p>
        </w:tc>
        <w:tc>
          <w:tcPr>
            <w:tcBorders>
              <w:top w:val="000000" w:sz="1" w:space="0" w:color="single"/>
              <w:left w:val="000000" w:sz="1" w:space="0" w:color="single"/>
            </w:tcBorders>
          </w:tcPr>
          <w:p>
            <w:pPr>
              <w:jc w:val="left"/>
              <w:spacing w:lineRule="auto"/>
            </w:pPr>
            <w:r>
              <w:rPr/>
              <w:t xml:space="preserve">ETH</w:t>
            </w:r>
          </w:p>
        </w:tc>
        <w:tc>
          <w:tcPr>
            <w:tcBorders>
              <w:top w:val="000000" w:sz="1" w:space="0" w:color="single"/>
              <w:left w:val="000000" w:sz="1" w:space="0" w:color="single"/>
              <w:right w:val="000000" w:sz="1" w:space="0" w:color="single"/>
            </w:tcBorders>
          </w:tcPr>
          <w:p>
            <w:pPr>
              <w:jc w:val="left"/>
              <w:spacing w:lineRule="auto"/>
            </w:pPr>
            <w:r>
              <w:rPr/>
              <w:t xml:space="preserve">SOL</w:t>
            </w:r>
          </w:p>
        </w:tc>
      </w:tr>
      <w:tblGrid>
        <w:gridCol w:w="2160"/>
        <w:gridCol w:w="2160"/>
        <w:gridCol w:w="2160"/>
        <w:gridCol w:w="2160"/>
      </w:tblGrid>
      <w:tr>
        <w:trPr>
          <w:cantSplit/>
        </w:trPr>
        <w:tc>
          <w:tcPr>
            <w:tcBorders>
              <w:top w:val="000000" w:sz="1" w:space="0" w:color="single"/>
              <w:left w:val="000000" w:sz="1" w:space="0" w:color="single"/>
            </w:tcBorders>
          </w:tcPr>
          <w:p>
            <w:pPr>
              <w:jc w:val="left"/>
              <w:spacing w:lineRule="auto"/>
            </w:pPr>
            <w:r>
              <w:rPr>
                <w:b/>
              </w:rPr>
              <w:t xml:space="preserve">Price</w:t>
            </w:r>
          </w:p>
        </w:tc>
        <w:tc>
          <w:tcPr>
            <w:tcBorders>
              <w:top w:val="000000" w:sz="1" w:space="0" w:color="single"/>
              <w:left w:val="000000" w:sz="1" w:space="0" w:color="single"/>
            </w:tcBorders>
          </w:tcPr>
          <w:p>
            <w:pPr>
              <w:jc w:val="left"/>
              <w:spacing w:lineRule="auto"/>
            </w:pPr>
            <w:r>
              <w:rPr/>
              <w:t xml:space="preserve">$89,900.64</w:t>
            </w:r>
          </w:p>
        </w:tc>
        <w:tc>
          <w:tcPr>
            <w:tcBorders>
              <w:top w:val="000000" w:sz="1" w:space="0" w:color="single"/>
              <w:left w:val="000000" w:sz="1" w:space="0" w:color="single"/>
            </w:tcBorders>
          </w:tcPr>
          <w:p>
            <w:pPr>
              <w:jc w:val="left"/>
              <w:spacing w:lineRule="auto"/>
            </w:pPr>
            <w:r>
              <w:rPr/>
              <w:t xml:space="preserve">$3,095.17</w:t>
            </w:r>
          </w:p>
        </w:tc>
        <w:tc>
          <w:tcPr>
            <w:tcBorders>
              <w:top w:val="000000" w:sz="1" w:space="0" w:color="single"/>
              <w:left w:val="000000" w:sz="1" w:space="0" w:color="single"/>
              <w:right w:val="000000" w:sz="1" w:space="0" w:color="single"/>
            </w:tcBorders>
          </w:tcPr>
          <w:p>
            <w:pPr>
              <w:jc w:val="left"/>
              <w:spacing w:lineRule="auto"/>
            </w:pPr>
            <w:r>
              <w:rPr/>
              <w:t xml:space="preserve">$133.90</w:t>
            </w:r>
          </w:p>
        </w:tc>
      </w:tr>
      <w:tr>
        <w:trPr>
          <w:cantSplit/>
        </w:trPr>
        <w:tc>
          <w:tcPr>
            <w:tcBorders>
              <w:left w:val="000000" w:sz="1" w:space="0" w:color="single"/>
            </w:tcBorders>
          </w:tcPr>
          <w:p>
            <w:pPr>
              <w:jc w:val="left"/>
              <w:spacing w:lineRule="auto"/>
            </w:pPr>
            <w:r>
              <w:rPr>
                <w:b/>
              </w:rPr>
              <w:t xml:space="preserve">Price Change Percentage 24H</w:t>
            </w:r>
          </w:p>
        </w:tc>
        <w:tc>
          <w:tcPr>
            <w:tcBorders>
              <w:left w:val="000000" w:sz="1" w:space="0" w:color="single"/>
            </w:tcBorders>
          </w:tcPr>
          <w:p>
            <w:pPr>
              <w:jc w:val="left"/>
              <w:spacing w:lineRule="auto"/>
            </w:pPr>
            <w:r>
              <w:rPr/>
              <w:t xml:space="preserve">-2.37%</w:t>
            </w:r>
          </w:p>
        </w:tc>
        <w:tc>
          <w:tcPr>
            <w:tcBorders>
              <w:left w:val="000000" w:sz="1" w:space="0" w:color="single"/>
            </w:tcBorders>
          </w:tcPr>
          <w:p>
            <w:pPr>
              <w:jc w:val="left"/>
              <w:spacing w:lineRule="auto"/>
            </w:pPr>
            <w:r>
              <w:rPr/>
              <w:t xml:space="preserve">-3.63%</w:t>
            </w:r>
          </w:p>
        </w:tc>
        <w:tc>
          <w:tcPr>
            <w:tcBorders>
              <w:left w:val="000000" w:sz="1" w:space="0" w:color="single"/>
              <w:right w:val="000000" w:sz="1" w:space="0" w:color="single"/>
            </w:tcBorders>
          </w:tcPr>
          <w:p>
            <w:pPr>
              <w:jc w:val="left"/>
              <w:spacing w:lineRule="auto"/>
            </w:pPr>
            <w:r>
              <w:rPr/>
              <w:t xml:space="preserve">-3.06%</w:t>
            </w:r>
          </w:p>
        </w:tc>
      </w:tr>
      <w:tr>
        <w:trPr>
          <w:cantSplit/>
        </w:trPr>
        <w:tc>
          <w:tcPr>
            <w:tcBorders>
              <w:left w:val="000000" w:sz="1" w:space="0" w:color="single"/>
            </w:tcBorders>
          </w:tcPr>
          <w:p>
            <w:pPr>
              <w:jc w:val="left"/>
              <w:spacing w:lineRule="auto"/>
            </w:pPr>
            <w:r>
              <w:rPr>
                <w:b/>
              </w:rPr>
              <w:t xml:space="preserve">Market Cap</w:t>
            </w:r>
          </w:p>
        </w:tc>
        <w:tc>
          <w:tcPr>
            <w:tcBorders>
              <w:left w:val="000000" w:sz="1" w:space="0" w:color="single"/>
            </w:tcBorders>
          </w:tcPr>
          <w:p>
            <w:pPr>
              <w:jc w:val="left"/>
              <w:spacing w:lineRule="auto"/>
            </w:pPr>
            <w:r>
              <w:rPr/>
              <w:t xml:space="preserve">$1,795,610,479,137</w:t>
            </w:r>
          </w:p>
        </w:tc>
        <w:tc>
          <w:tcPr>
            <w:tcBorders>
              <w:left w:val="000000" w:sz="1" w:space="0" w:color="single"/>
            </w:tcBorders>
          </w:tcPr>
          <w:p>
            <w:pPr>
              <w:jc w:val="left"/>
              <w:spacing w:lineRule="auto"/>
            </w:pPr>
            <w:r>
              <w:rPr/>
              <w:t xml:space="preserve">$373,532,023,247</w:t>
            </w:r>
          </w:p>
        </w:tc>
        <w:tc>
          <w:tcPr>
            <w:tcBorders>
              <w:left w:val="000000" w:sz="1" w:space="0" w:color="single"/>
              <w:right w:val="000000" w:sz="1" w:space="0" w:color="single"/>
            </w:tcBorders>
          </w:tcPr>
          <w:p>
            <w:pPr>
              <w:jc w:val="left"/>
              <w:spacing w:lineRule="auto"/>
            </w:pPr>
            <w:r>
              <w:rPr/>
              <w:t xml:space="preserve">$75,532,125,164</w:t>
            </w:r>
          </w:p>
        </w:tc>
      </w:tr>
      <w:tr>
        <w:trPr>
          <w:cantSplit/>
        </w:trPr>
        <w:tc>
          <w:tcPr>
            <w:tcBorders>
              <w:left w:val="000000" w:sz="1" w:space="0" w:color="single"/>
            </w:tcBorders>
          </w:tcPr>
          <w:p>
            <w:pPr>
              <w:jc w:val="left"/>
              <w:spacing w:lineRule="auto"/>
            </w:pPr>
            <w:r>
              <w:rPr>
                <w:b/>
              </w:rPr>
              <w:t xml:space="preserve">Total Volume (24H)</w:t>
            </w:r>
          </w:p>
        </w:tc>
        <w:tc>
          <w:tcPr>
            <w:tcBorders>
              <w:left w:val="000000" w:sz="1" w:space="0" w:color="single"/>
            </w:tcBorders>
          </w:tcPr>
          <w:p>
            <w:pPr>
              <w:jc w:val="left"/>
              <w:spacing w:lineRule="auto"/>
            </w:pPr>
            <w:r>
              <w:rPr/>
              <w:t xml:space="preserve">$48,729,126,515</w:t>
            </w:r>
          </w:p>
        </w:tc>
        <w:tc>
          <w:tcPr>
            <w:tcBorders>
              <w:left w:val="000000" w:sz="1" w:space="0" w:color="single"/>
            </w:tcBorders>
          </w:tcPr>
          <w:p>
            <w:pPr>
              <w:jc w:val="left"/>
              <w:spacing w:lineRule="auto"/>
            </w:pPr>
            <w:r>
              <w:rPr/>
              <w:t xml:space="preserve">$25,677,533,350</w:t>
            </w:r>
          </w:p>
        </w:tc>
        <w:tc>
          <w:tcPr>
            <w:tcBorders>
              <w:left w:val="000000" w:sz="1" w:space="0" w:color="single"/>
              <w:right w:val="000000" w:sz="1" w:space="0" w:color="single"/>
            </w:tcBorders>
          </w:tcPr>
          <w:p>
            <w:pPr>
              <w:jc w:val="left"/>
              <w:spacing w:lineRule="auto"/>
            </w:pPr>
            <w:r>
              <w:rPr/>
              <w:t xml:space="preserve">$4,521,894,589</w:t>
            </w:r>
          </w:p>
        </w:tc>
      </w:tr>
      <w:tr>
        <w:trPr>
          <w:cantSplit/>
        </w:trPr>
        <w:tc>
          <w:tcPr>
            <w:tcBorders>
              <w:left w:val="000000" w:sz="1" w:space="0" w:color="single"/>
            </w:tcBorders>
          </w:tcPr>
          <w:p>
            <w:pPr>
              <w:jc w:val="left"/>
              <w:spacing w:lineRule="auto"/>
            </w:pPr>
            <w:r>
              <w:rPr>
                <w:b/>
              </w:rPr>
              <w:t xml:space="preserve">Open Interest</w:t>
            </w:r>
          </w:p>
        </w:tc>
        <w:tc>
          <w:tcPr>
            <w:tcBorders>
              <w:left w:val="000000" w:sz="1" w:space="0" w:color="single"/>
            </w:tcBorders>
          </w:tcPr>
          <w:p>
            <w:pPr>
              <w:jc w:val="left"/>
              <w:spacing w:lineRule="auto"/>
            </w:pPr>
            <w:r>
              <w:rPr/>
              <w:t xml:space="preserve">$62,675,306,943.14</w:t>
            </w:r>
          </w:p>
        </w:tc>
        <w:tc>
          <w:tcPr>
            <w:tcBorders>
              <w:left w:val="000000" w:sz="1" w:space="0" w:color="single"/>
            </w:tcBorders>
          </w:tcPr>
          <w:p>
            <w:pPr>
              <w:jc w:val="left"/>
              <w:spacing w:lineRule="auto"/>
            </w:pPr>
            <w:r>
              <w:rPr/>
              <w:t xml:space="preserve">$39,995,594,842.21</w:t>
            </w:r>
          </w:p>
        </w:tc>
        <w:tc>
          <w:tcPr>
            <w:tcBorders>
              <w:left w:val="000000" w:sz="1" w:space="0" w:color="single"/>
              <w:right w:val="000000" w:sz="1" w:space="0" w:color="single"/>
            </w:tcBorders>
          </w:tcPr>
          <w:p>
            <w:pPr>
              <w:jc w:val="left"/>
              <w:spacing w:lineRule="auto"/>
            </w:pPr>
            <w:r>
              <w:rPr/>
              <w:t xml:space="preserve">$8,168,243,365.41</w:t>
            </w:r>
          </w:p>
        </w:tc>
      </w:tr>
      <w:tr>
        <w:trPr>
          <w:cantSplit/>
        </w:trPr>
        <w:tc>
          <w:tcPr>
            <w:tcBorders>
              <w:left w:val="000000" w:sz="1" w:space="0" w:color="single"/>
            </w:tcBorders>
          </w:tcPr>
          <w:p>
            <w:pPr>
              <w:jc w:val="left"/>
              <w:spacing w:lineRule="auto"/>
            </w:pPr>
            <w:r>
              <w:rPr>
                <w:b/>
              </w:rPr>
              <w:t xml:space="preserve">24H Open Interest Change</w:t>
            </w:r>
          </w:p>
        </w:tc>
        <w:tc>
          <w:tcPr>
            <w:tcBorders>
              <w:left w:val="000000" w:sz="1" w:space="0" w:color="single"/>
            </w:tcBorders>
          </w:tcPr>
          <w:p>
            <w:pPr>
              <w:jc w:val="left"/>
              <w:spacing w:lineRule="auto"/>
            </w:pPr>
            <w:r>
              <w:rPr/>
              <w:t xml:space="preserve">2.57%</w:t>
            </w:r>
          </w:p>
        </w:tc>
        <w:tc>
          <w:tcPr>
            <w:tcBorders>
              <w:left w:val="000000" w:sz="1" w:space="0" w:color="single"/>
            </w:tcBorders>
          </w:tcPr>
          <w:p>
            <w:pPr>
              <w:jc w:val="left"/>
              <w:spacing w:lineRule="auto"/>
            </w:pPr>
            <w:r>
              <w:rPr/>
              <w:t xml:space="preserve">-0.63%</w:t>
            </w:r>
          </w:p>
        </w:tc>
        <w:tc>
          <w:tcPr>
            <w:tcBorders>
              <w:left w:val="000000" w:sz="1" w:space="0" w:color="single"/>
              <w:right w:val="000000" w:sz="1" w:space="0" w:color="single"/>
            </w:tcBorders>
          </w:tcPr>
          <w:p>
            <w:pPr>
              <w:jc w:val="left"/>
              <w:spacing w:lineRule="auto"/>
            </w:pPr>
            <w:r>
              <w:rPr/>
              <w:t xml:space="preserve">1.92%</w:t>
            </w:r>
          </w:p>
        </w:tc>
      </w:tr>
      <w:tr>
        <w:trPr>
          <w:cantSplit/>
        </w:trPr>
        <w:tc>
          <w:tcPr>
            <w:tcBorders>
              <w:left w:val="000000" w:sz="1" w:space="0" w:color="single"/>
            </w:tcBorders>
          </w:tcPr>
          <w:p>
            <w:pPr>
              <w:jc w:val="left"/>
              <w:spacing w:lineRule="auto"/>
            </w:pPr>
            <w:r>
              <w:rPr>
                <w:b/>
              </w:rPr>
              <w:t xml:space="preserve">Funding Rate</w:t>
            </w:r>
          </w:p>
        </w:tc>
        <w:tc>
          <w:tcPr>
            <w:tcBorders>
              <w:left w:val="000000" w:sz="1" w:space="0" w:color="single"/>
            </w:tcBorders>
          </w:tcPr>
          <w:p>
            <w:pPr>
              <w:jc w:val="left"/>
              <w:spacing w:lineRule="auto"/>
            </w:pPr>
            <w:r>
              <w:rPr/>
              <w:t xml:space="preserve">0.0078%</w:t>
            </w:r>
          </w:p>
        </w:tc>
        <w:tc>
          <w:tcPr>
            <w:tcBorders>
              <w:left w:val="000000" w:sz="1" w:space="0" w:color="single"/>
            </w:tcBorders>
          </w:tcPr>
          <w:p>
            <w:pPr>
              <w:jc w:val="left"/>
              <w:spacing w:lineRule="auto"/>
            </w:pPr>
            <w:r>
              <w:rPr/>
              <w:t xml:space="preserve">0.0095%</w:t>
            </w:r>
          </w:p>
        </w:tc>
        <w:tc>
          <w:tcPr>
            <w:tcBorders>
              <w:left w:val="000000" w:sz="1" w:space="0" w:color="single"/>
              <w:right w:val="000000" w:sz="1" w:space="0" w:color="single"/>
            </w:tcBorders>
          </w:tcPr>
          <w:p>
            <w:pPr>
              <w:jc w:val="left"/>
              <w:spacing w:lineRule="auto"/>
            </w:pPr>
            <w:r>
              <w:rPr/>
              <w:t xml:space="preserve">0.0030%</w:t>
            </w:r>
          </w:p>
        </w:tc>
      </w:tr>
      <w:tr>
        <w:trPr>
          <w:cantSplit/>
        </w:trPr>
        <w:tc>
          <w:tcPr>
            <w:tcBorders>
              <w:bottom w:val="000000" w:sz="1" w:space="0" w:color="single"/>
              <w:left w:val="000000" w:sz="1" w:space="0" w:color="single"/>
            </w:tcBorders>
          </w:tcPr>
          <w:p>
            <w:pPr>
              <w:jc w:val="left"/>
              <w:spacing w:lineRule="auto"/>
            </w:pPr>
            <w:r>
              <w:rPr>
                <w:b/>
              </w:rPr>
              <w:t xml:space="preserve">24H Funding Rate Change</w:t>
            </w:r>
          </w:p>
        </w:tc>
        <w:tc>
          <w:tcPr>
            <w:tcBorders>
              <w:bottom w:val="000000" w:sz="1" w:space="0" w:color="single"/>
              <w:left w:val="000000" w:sz="1" w:space="0" w:color="single"/>
            </w:tcBorders>
          </w:tcPr>
          <w:p>
            <w:pPr>
              <w:jc w:val="left"/>
              <w:spacing w:lineRule="auto"/>
            </w:pPr>
            <w:r>
              <w:rPr/>
              <w:t xml:space="preserve">Data Not Available</w:t>
            </w:r>
          </w:p>
        </w:tc>
        <w:tc>
          <w:tcPr>
            <w:tcBorders>
              <w:bottom w:val="000000" w:sz="1" w:space="0" w:color="single"/>
              <w:left w:val="000000" w:sz="1" w:space="0" w:color="single"/>
            </w:tcBorders>
          </w:tcPr>
          <w:p>
            <w:pPr>
              <w:jc w:val="left"/>
              <w:spacing w:lineRule="auto"/>
            </w:pPr>
            <w:r>
              <w:rPr/>
              <w:t xml:space="preserve">Data Not Available</w:t>
            </w:r>
          </w:p>
        </w:tc>
        <w:tc>
          <w:tcPr>
            <w:tcBorders>
              <w:bottom w:val="000000" w:sz="1" w:space="0" w:color="single"/>
              <w:left w:val="000000" w:sz="1" w:space="0" w:color="single"/>
              <w:right w:val="000000" w:sz="1" w:space="0" w:color="single"/>
            </w:tcBorders>
          </w:tcPr>
          <w:p>
            <w:pPr>
              <w:jc w:val="left"/>
              <w:spacing w:lineRule="auto"/>
            </w:pPr>
            <w:r>
              <w:rPr/>
              <w:t xml:space="preserve">Data Not Available</w:t>
            </w:r>
          </w:p>
        </w:tc>
      </w:tr>
    </w:tbl>
    <w:p>
      <w:pPr>
        <w:spacing w:lineRule="auto"/>
      </w:pPr>
      <w:r>
        <w:rPr/>
      </w:r>
    </w:p>
    <w:p>
      <w:pPr>
        <w:spacing w:lineRule="auto"/>
      </w:pPr>
      <w:r>
        <w:rPr>
          <w:b/>
        </w:rPr>
        <w:t xml:space="preserve">Market Analysis:</w:t>
      </w:r>
    </w:p>
    <w:p>
      <w:pPr>
        <w:spacing w:lineRule="auto"/>
      </w:pPr>
      <w:r>
        <w:rPr/>
        <w:t xml:space="preserve">Bitcoin leads the market with a formidable market capitalization exceeding $1.79 trillion. Despite a 2.37% price dip in the last 24 hours, its trading volume remains strong at over $48 billion. A 2.57% increase in open interest suggests growing engagement from derivatives traders.</w:t>
      </w:r>
    </w:p>
    <w:p>
      <w:pPr>
        <w:spacing w:lineRule="auto"/>
      </w:pPr>
      <w:r>
        <w:rPr/>
        <w:t xml:space="preserve">Ethereum, the second-largest cryptocurrency, saw a more pronounced price decline of 3.63%. Its market cap is approximately $373 billion, with a 24-hour trading volume of over $25 billion. In contrast to Bitcoin, Ethereum's open interest has decreased by 0.63%, which may signal a slight reduction in leveraged positions.</w:t>
      </w:r>
    </w:p>
    <w:p>
      <w:pPr>
        <w:spacing w:lineRule="auto"/>
      </w:pPr>
      <w:r>
        <w:rPr/>
        <w:t xml:space="preserve">Solana also registered a price decrease of 3.06%, bringing its market cap to over $75 billion and its 24-hour trading volume to more than $4.5 billion. Unlike Ethereum, Solana's open interest grew by 1.92%, indicating rising speculative interest in its derivatives.</w:t>
      </w:r>
    </w:p>
    <w:p>
      <w:pPr>
        <w:spacing w:lineRule="auto"/>
      </w:pPr>
      <w:r>
        <w:rPr/>
        <w:t xml:space="preserve">The positive funding rates for all three cryptocurrencies suggest that traders in the perpetual swaps market are generally expecting prices to rise, as long positions are currently paying short positions. Data on the 24-hour change in funding rates was not available.</w:t>
      </w:r>
    </w:p>
    <w:p>
      <w:pPr>
        <w:pStyle w:val="Heading4"/>
        <w:spacing w:lineRule="auto"/>
      </w:pPr>
      <w:r>
        <w:rPr>
          <w:b/>
        </w:rPr>
        <w:t xml:space="preserve">Market Sentiment and On-Chain Analysis</w:t>
      </w:r>
    </w:p>
    <w:p>
      <w:pPr>
        <w:spacing w:lineRule="auto"/>
      </w:pPr>
      <w:r>
        <w:rPr/>
        <w:t xml:space="preserve">To provide a complete picture of market sentiment, several key metrics should be considered. The current values for these can be found at their respective sources.</w:t>
      </w:r>
    </w:p>
    <w:tbl>
      <w:tblPr>
        <w:tblCellMar>
          <w:top w:type="dxa" w:w="80"/>
          <w:bottom w:type="dxa" w:w="80"/>
          <w:left w:type="dxa" w:w="160"/>
          <w:right w:type="dxa" w:w="160"/>
        </w:tblCellMar>
        <w:jc w:val="center"/>
      </w:tblPr>
      <w:tblGrid>
        <w:gridCol w:w="2880"/>
        <w:gridCol w:w="2880"/>
        <w:gridCol w:w="2880"/>
      </w:tblGrid>
      <w:tr>
        <w:trPr>
          <w:cantSplit/>
        </w:trPr>
        <w:tc>
          <w:tcPr>
            <w:tcBorders>
              <w:top w:val="000000" w:sz="1" w:space="0" w:color="single"/>
              <w:left w:val="000000" w:sz="1" w:space="0" w:color="single"/>
            </w:tcBorders>
          </w:tcPr>
          <w:p>
            <w:pPr>
              <w:jc w:val="left"/>
              <w:spacing w:lineRule="auto"/>
            </w:pPr>
            <w:r>
              <w:rPr/>
              <w:t xml:space="preserve">Metric</w:t>
            </w:r>
          </w:p>
        </w:tc>
        <w:tc>
          <w:tcPr>
            <w:tcBorders>
              <w:top w:val="000000" w:sz="1" w:space="0" w:color="single"/>
              <w:left w:val="000000" w:sz="1" w:space="0" w:color="single"/>
            </w:tcBorders>
          </w:tcPr>
          <w:p>
            <w:pPr>
              <w:jc w:val="left"/>
              <w:spacing w:lineRule="auto"/>
            </w:pPr>
            <w:r>
              <w:rPr/>
              <w:t xml:space="preserve">Current Value</w:t>
            </w:r>
          </w:p>
        </w:tc>
        <w:tc>
          <w:tcPr>
            <w:tcBorders>
              <w:top w:val="000000" w:sz="1" w:space="0" w:color="single"/>
              <w:left w:val="000000" w:sz="1" w:space="0" w:color="single"/>
              <w:right w:val="000000" w:sz="1" w:space="0" w:color="single"/>
            </w:tcBorders>
          </w:tcPr>
          <w:p>
            <w:pPr>
              <w:jc w:val="left"/>
              <w:spacing w:lineRule="auto"/>
            </w:pPr>
            <w:r>
              <w:rPr/>
              <w:t xml:space="preserve">Source</w:t>
            </w:r>
          </w:p>
        </w:tc>
      </w:tr>
      <w:tblGrid>
        <w:gridCol w:w="2880"/>
        <w:gridCol w:w="2880"/>
        <w:gridCol w:w="2880"/>
      </w:tblGrid>
      <w:tr>
        <w:trPr>
          <w:cantSplit/>
        </w:trPr>
        <w:tc>
          <w:tcPr>
            <w:tcBorders>
              <w:top w:val="000000" w:sz="1" w:space="0" w:color="single"/>
              <w:left w:val="000000" w:sz="1" w:space="0" w:color="single"/>
            </w:tcBorders>
          </w:tcPr>
          <w:p>
            <w:pPr>
              <w:jc w:val="left"/>
              <w:spacing w:lineRule="auto"/>
            </w:pPr>
            <w:r>
              <w:rPr/>
              <w:t xml:space="preserve">Crypto Fear &amp; Greed Index</w:t>
            </w:r>
          </w:p>
        </w:tc>
        <w:tc>
          <w:tcPr>
            <w:tcBorders>
              <w:top w:val="000000" w:sz="1" w:space="0" w:color="single"/>
              <w:left w:val="000000" w:sz="1" w:space="0" w:color="single"/>
            </w:tcBorders>
          </w:tcPr>
          <w:p>
            <w:pPr>
              <w:jc w:val="left"/>
              <w:spacing w:lineRule="auto"/>
            </w:pPr>
            <w:r>
              <w:rPr/>
              <w:t xml:space="preserve">28 (Fear)</w:t>
            </w:r>
          </w:p>
        </w:tc>
        <w:tc>
          <w:tcPr>
            <w:tcBorders>
              <w:top w:val="000000" w:sz="1" w:space="0" w:color="single"/>
              <w:left w:val="000000" w:sz="1" w:space="0" w:color="single"/>
              <w:right w:val="000000" w:sz="1" w:space="0" w:color="single"/>
            </w:tcBorders>
          </w:tcPr>
          <w:p>
            <w:pPr>
              <w:jc w:val="left"/>
              <w:spacing w:lineRule="auto"/>
            </w:pPr>
            <w:hyperlink r:id="rId6">
              <w:r>
                <w:rPr>
                  <w:rStyle w:val="Hyperlink"/>
                </w:rPr>
                <w:t xml:space="preserve">Fear &amp; Greed Index</w:t>
              </w:r>
            </w:hyperlink>
          </w:p>
        </w:tc>
      </w:tr>
      <w:tr>
        <w:trPr>
          <w:cantSplit/>
        </w:trPr>
        <w:tc>
          <w:tcPr>
            <w:tcBorders>
              <w:left w:val="000000" w:sz="1" w:space="0" w:color="single"/>
            </w:tcBorders>
          </w:tcPr>
          <w:p>
            <w:pPr>
              <w:jc w:val="left"/>
              <w:spacing w:lineRule="auto"/>
            </w:pPr>
            <w:r>
              <w:rPr/>
              <w:t xml:space="preserve">Altcoin Season Index</w:t>
            </w:r>
          </w:p>
        </w:tc>
        <w:tc>
          <w:tcPr>
            <w:tcBorders>
              <w:left w:val="000000" w:sz="1" w:space="0" w:color="single"/>
            </w:tcBorders>
          </w:tcPr>
          <w:p>
            <w:pPr>
              <w:jc w:val="left"/>
              <w:spacing w:lineRule="auto"/>
            </w:pPr>
            <w:r>
              <w:rPr/>
              <w:t xml:space="preserve">[Insert Fraction]</w:t>
            </w:r>
          </w:p>
        </w:tc>
        <w:tc>
          <w:tcPr>
            <w:tcBorders>
              <w:left w:val="000000" w:sz="1" w:space="0" w:color="single"/>
              <w:right w:val="000000" w:sz="1" w:space="0" w:color="single"/>
            </w:tcBorders>
          </w:tcPr>
          <w:p>
            <w:pPr>
              <w:jc w:val="left"/>
              <w:spacing w:lineRule="auto"/>
            </w:pPr>
            <w:hyperlink r:id="rId7">
              <w:r>
                <w:rPr>
                  <w:rStyle w:val="Hyperlink"/>
                </w:rPr>
                <w:t xml:space="preserve">CoinMarketCap's Altcoin Season Index</w:t>
              </w:r>
            </w:hyperlink>
          </w:p>
        </w:tc>
      </w:tr>
      <w:tr>
        <w:trPr>
          <w:cantSplit/>
        </w:trPr>
        <w:tc>
          <w:tcPr>
            <w:tcBorders>
              <w:bottom w:val="000000" w:sz="1" w:space="0" w:color="single"/>
              <w:left w:val="000000" w:sz="1" w:space="0" w:color="single"/>
            </w:tcBorders>
          </w:tcPr>
          <w:p>
            <w:pPr>
              <w:jc w:val="left"/>
              <w:spacing w:lineRule="auto"/>
            </w:pPr>
            <w:r>
              <w:rPr/>
              <w:t xml:space="preserve">MVRV Ratio</w:t>
            </w:r>
          </w:p>
        </w:tc>
        <w:tc>
          <w:tcPr>
            <w:tcBorders>
              <w:bottom w:val="000000" w:sz="1" w:space="0" w:color="single"/>
              <w:left w:val="000000" w:sz="1" w:space="0" w:color="single"/>
            </w:tcBorders>
          </w:tcPr>
          <w:p>
            <w:pPr>
              <w:jc w:val="left"/>
              <w:spacing w:lineRule="auto"/>
            </w:pPr>
            <w:r>
              <w:rPr/>
              <w:t xml:space="preserve">[Insert Value]</w:t>
            </w:r>
          </w:p>
        </w:tc>
        <w:tc>
          <w:tcPr>
            <w:tcBorders>
              <w:bottom w:val="000000" w:sz="1" w:space="0" w:color="single"/>
              <w:left w:val="000000" w:sz="1" w:space="0" w:color="single"/>
              <w:right w:val="000000" w:sz="1" w:space="0" w:color="single"/>
            </w:tcBorders>
          </w:tcPr>
          <w:p>
            <w:pPr>
              <w:jc w:val="left"/>
              <w:spacing w:lineRule="auto"/>
            </w:pPr>
            <w:hyperlink r:id="rId8">
              <w:r>
                <w:rPr>
                  <w:rStyle w:val="Hyperlink"/>
                </w:rPr>
                <w:t xml:space="preserve">Glassnode</w:t>
              </w:r>
            </w:hyperlink>
          </w:p>
          <w:p>
            <w:pPr>
              <w:jc w:val="left"/>
              <w:spacing w:lineRule="auto"/>
            </w:pPr>
            <w:r>
              <w:rPr/>
              <w:t xml:space="preserve"> or </w:t>
            </w:r>
          </w:p>
          <w:p>
            <w:pPr>
              <w:jc w:val="left"/>
              <w:spacing w:lineRule="auto"/>
            </w:pPr>
            <w:hyperlink r:id="rId9">
              <w:r>
                <w:rPr>
                  <w:rStyle w:val="Hyperlink"/>
                </w:rPr>
                <w:t xml:space="preserve">Decentrader</w:t>
              </w:r>
            </w:hyperlink>
          </w:p>
        </w:tc>
      </w:tr>
    </w:tbl>
    <w:p>
      <w:pPr>
        <w:spacing w:lineRule="auto"/>
      </w:pPr>
      <w:r>
        <w:rPr/>
      </w:r>
    </w:p>
    <w:p>
      <w:pPr>
        <w:spacing w:lineRule="auto"/>
      </w:pPr>
      <w:r>
        <w:rPr/>
        <w:t xml:space="preserve">The Crypto Fear &amp; Greed Index has dropped to 28, indicating a state of "fear" among market participants. This reflects a shift from the more neutral sentiment observed earlier in the week.</w:t>
      </w:r>
    </w:p>
    <w:p>
      <w:pPr>
        <w:pStyle w:val="Heading4"/>
        <w:spacing w:lineRule="auto"/>
      </w:pPr>
      <w:r>
        <w:rPr>
          <w:b/>
        </w:rPr>
        <w:t xml:space="preserve">24 Hour Net ETF Flows</w:t>
      </w:r>
    </w:p>
    <w:p>
      <w:pPr>
        <w:spacing w:lineRule="auto"/>
      </w:pPr>
      <w:r>
        <w:rPr/>
        <w:t xml:space="preserve">On January 7, 2026, both Bitcoin and Ethereum Exchange-Traded Funds (ETFs) witnessed significant net outflows, signaling a cautious shift in investor sentiment.</w:t>
      </w:r>
    </w:p>
    <w:tbl>
      <w:tblPr>
        <w:tblCellMar>
          <w:top w:type="dxa" w:w="80"/>
          <w:bottom w:type="dxa" w:w="80"/>
          <w:left w:type="dxa" w:w="160"/>
          <w:right w:type="dxa" w:w="160"/>
        </w:tblCellMar>
        <w:jc w:val="center"/>
      </w:tblPr>
      <w:tblGrid>
        <w:gridCol w:w="4320"/>
        <w:gridCol w:w="4320"/>
      </w:tblGrid>
      <w:tr>
        <w:trPr>
          <w:cantSplit/>
        </w:trPr>
        <w:tc>
          <w:tcPr>
            <w:tcBorders>
              <w:top w:val="000000" w:sz="1" w:space="0" w:color="single"/>
              <w:left w:val="000000" w:sz="1" w:space="0" w:color="single"/>
            </w:tcBorders>
          </w:tcPr>
          <w:p>
            <w:pPr>
              <w:jc w:val="left"/>
              <w:spacing w:lineRule="auto"/>
            </w:pPr>
            <w:r>
              <w:rPr/>
              <w:t xml:space="preserve">Token</w:t>
            </w:r>
          </w:p>
        </w:tc>
        <w:tc>
          <w:tcPr>
            <w:tcBorders>
              <w:top w:val="000000" w:sz="1" w:space="0" w:color="single"/>
              <w:left w:val="000000" w:sz="1" w:space="0" w:color="single"/>
              <w:right w:val="000000" w:sz="1" w:space="0" w:color="single"/>
            </w:tcBorders>
          </w:tcPr>
          <w:p>
            <w:pPr>
              <w:jc w:val="left"/>
              <w:spacing w:lineRule="auto"/>
            </w:pPr>
            <w:r>
              <w:rPr/>
              <w:t xml:space="preserve">Net Flows</w:t>
            </w:r>
          </w:p>
        </w:tc>
      </w:tr>
      <w:tblGrid>
        <w:gridCol w:w="4320"/>
        <w:gridCol w:w="4320"/>
      </w:tblGrid>
      <w:tr>
        <w:trPr>
          <w:cantSplit/>
        </w:trPr>
        <w:tc>
          <w:tcPr>
            <w:tcBorders>
              <w:top w:val="000000" w:sz="1" w:space="0" w:color="single"/>
              <w:left w:val="000000" w:sz="1" w:space="0" w:color="single"/>
            </w:tcBorders>
          </w:tcPr>
          <w:p>
            <w:pPr>
              <w:jc w:val="left"/>
              <w:spacing w:lineRule="auto"/>
            </w:pPr>
            <w:r>
              <w:rPr/>
              <w:t xml:space="preserve">Bitcoin (BTC)</w:t>
            </w:r>
          </w:p>
        </w:tc>
        <w:tc>
          <w:tcPr>
            <w:tcBorders>
              <w:top w:val="000000" w:sz="1" w:space="0" w:color="single"/>
              <w:left w:val="000000" w:sz="1" w:space="0" w:color="single"/>
              <w:right w:val="000000" w:sz="1" w:space="0" w:color="single"/>
            </w:tcBorders>
          </w:tcPr>
          <w:p>
            <w:pPr>
              <w:jc w:val="left"/>
              <w:spacing w:lineRule="auto"/>
            </w:pPr>
            <w:r>
              <w:rPr/>
              <w:t xml:space="preserve">-$486,100,000</w:t>
            </w:r>
          </w:p>
        </w:tc>
      </w:tr>
      <w:tr>
        <w:trPr>
          <w:cantSplit/>
        </w:trPr>
        <w:tc>
          <w:tcPr>
            <w:tcBorders>
              <w:bottom w:val="000000" w:sz="1" w:space="0" w:color="single"/>
              <w:left w:val="000000" w:sz="1" w:space="0" w:color="single"/>
            </w:tcBorders>
          </w:tcPr>
          <w:p>
            <w:pPr>
              <w:jc w:val="left"/>
              <w:spacing w:lineRule="auto"/>
            </w:pPr>
            <w:r>
              <w:rPr/>
              <w:t xml:space="preserve">Ethereum (ETH)</w:t>
            </w:r>
          </w:p>
        </w:tc>
        <w:tc>
          <w:tcPr>
            <w:tcBorders>
              <w:bottom w:val="000000" w:sz="1" w:space="0" w:color="single"/>
              <w:left w:val="000000" w:sz="1" w:space="0" w:color="single"/>
              <w:right w:val="000000" w:sz="1" w:space="0" w:color="single"/>
            </w:tcBorders>
          </w:tcPr>
          <w:p>
            <w:pPr>
              <w:jc w:val="left"/>
              <w:spacing w:lineRule="auto"/>
            </w:pPr>
            <w:r>
              <w:rPr/>
              <w:t xml:space="preserve">-$98,300,000</w:t>
            </w:r>
          </w:p>
        </w:tc>
      </w:tr>
    </w:tbl>
    <w:p>
      <w:pPr>
        <w:spacing w:lineRule="auto"/>
      </w:pPr>
      <w:r>
        <w:rPr/>
      </w:r>
    </w:p>
    <w:p>
      <w:pPr>
        <w:spacing w:lineRule="auto"/>
      </w:pPr>
      <w:r>
        <w:rPr/>
        <w:t xml:space="preserve">The data shows a consistent trend of negative flows across the majority of listed Bitcoin and Ethereum ETFs for the day, with major funds like IBIT and FBTC leading the Bitcoin outflows. This synchronized withdrawal suggests a potential reaction to broader market conditions and will be a key trend to monitor for near-term market direction.</w:t>
      </w:r>
    </w:p>
    <w:p>
      <w:pPr>
        <w:pStyle w:val="Heading4"/>
        <w:spacing w:lineRule="auto"/>
      </w:pPr>
      <w:r>
        <w:rPr>
          <w:b/>
        </w:rPr>
        <w:t xml:space="preserve">Stablecoin Activity on January 7, 2026</w:t>
      </w:r>
    </w:p>
    <w:p>
      <w:pPr>
        <w:spacing w:lineRule="auto"/>
      </w:pPr>
      <w:r>
        <w:rPr/>
        <w:t xml:space="preserve">The stablecoin market showed dynamic activity, with significant transfers, mints, and redemptions across major tokens.</w:t>
      </w:r>
    </w:p>
    <w:tbl>
      <w:tblPr>
        <w:tblCellMar>
          <w:top w:type="dxa" w:w="80"/>
          <w:bottom w:type="dxa" w:w="80"/>
          <w:left w:type="dxa" w:w="160"/>
          <w:right w:type="dxa" w:w="160"/>
        </w:tblCellMar>
        <w:jc w:val="center"/>
      </w:tblPr>
      <w:tblGrid>
        <w:gridCol w:w="2160"/>
        <w:gridCol w:w="2160"/>
        <w:gridCol w:w="2160"/>
        <w:gridCol w:w="2160"/>
      </w:tblGrid>
      <w:tr>
        <w:trPr>
          <w:cantSplit/>
        </w:trPr>
        <w:tc>
          <w:tcPr>
            <w:tcBorders>
              <w:top w:val="000000" w:sz="1" w:space="0" w:color="single"/>
              <w:left w:val="000000" w:sz="1" w:space="0" w:color="single"/>
            </w:tcBorders>
          </w:tcPr>
          <w:p>
            <w:pPr>
              <w:jc w:val="left"/>
              <w:spacing w:lineRule="auto"/>
            </w:pPr>
            <w:r>
              <w:rPr/>
              <w:t xml:space="preserve">Token</w:t>
            </w:r>
          </w:p>
        </w:tc>
        <w:tc>
          <w:tcPr>
            <w:tcBorders>
              <w:top w:val="000000" w:sz="1" w:space="0" w:color="single"/>
              <w:left w:val="000000" w:sz="1" w:space="0" w:color="single"/>
            </w:tcBorders>
          </w:tcPr>
          <w:p>
            <w:pPr>
              <w:jc w:val="left"/>
              <w:spacing w:lineRule="auto"/>
            </w:pPr>
            <w:r>
              <w:rPr/>
              <w:t xml:space="preserve">Stablecoin Mints</w:t>
            </w:r>
          </w:p>
        </w:tc>
        <w:tc>
          <w:tcPr>
            <w:tcBorders>
              <w:top w:val="000000" w:sz="1" w:space="0" w:color="single"/>
              <w:left w:val="000000" w:sz="1" w:space="0" w:color="single"/>
            </w:tcBorders>
          </w:tcPr>
          <w:p>
            <w:pPr>
              <w:jc w:val="left"/>
              <w:spacing w:lineRule="auto"/>
            </w:pPr>
            <w:r>
              <w:rPr/>
              <w:t xml:space="preserve">Stablecoin Redemptions</w:t>
            </w:r>
          </w:p>
        </w:tc>
        <w:tc>
          <w:tcPr>
            <w:tcBorders>
              <w:top w:val="000000" w:sz="1" w:space="0" w:color="single"/>
              <w:left w:val="000000" w:sz="1" w:space="0" w:color="single"/>
              <w:right w:val="000000" w:sz="1" w:space="0" w:color="single"/>
            </w:tcBorders>
          </w:tcPr>
          <w:p>
            <w:pPr>
              <w:jc w:val="left"/>
              <w:spacing w:lineRule="auto"/>
            </w:pPr>
            <w:r>
              <w:rPr/>
              <w:t xml:space="preserve">Stablecoin Transfers</w:t>
            </w:r>
          </w:p>
        </w:tc>
      </w:tr>
      <w:tblGrid>
        <w:gridCol w:w="2160"/>
        <w:gridCol w:w="2160"/>
        <w:gridCol w:w="2160"/>
        <w:gridCol w:w="2160"/>
      </w:tblGrid>
      <w:tr>
        <w:trPr>
          <w:cantSplit/>
        </w:trPr>
        <w:tc>
          <w:tcPr>
            <w:tcBorders>
              <w:top w:val="000000" w:sz="1" w:space="0" w:color="single"/>
              <w:left w:val="000000" w:sz="1" w:space="0" w:color="single"/>
            </w:tcBorders>
          </w:tcPr>
          <w:p>
            <w:pPr>
              <w:jc w:val="left"/>
              <w:spacing w:lineRule="auto"/>
            </w:pPr>
            <w:r>
              <w:rPr>
                <w:b/>
              </w:rPr>
              <w:t xml:space="preserve">USDT</w:t>
            </w:r>
          </w:p>
        </w:tc>
        <w:tc>
          <w:tcPr>
            <w:tcBorders>
              <w:top w:val="000000" w:sz="1" w:space="0" w:color="single"/>
              <w:left w:val="000000" w:sz="1" w:space="0" w:color="single"/>
            </w:tcBorders>
          </w:tcPr>
          <w:p>
            <w:pPr>
              <w:jc w:val="left"/>
              <w:spacing w:lineRule="auto"/>
            </w:pPr>
            <w:r>
              <w:rPr/>
              <w:t xml:space="preserve">N/A</w:t>
            </w:r>
          </w:p>
        </w:tc>
        <w:tc>
          <w:tcPr>
            <w:tcBorders>
              <w:top w:val="000000" w:sz="1" w:space="0" w:color="single"/>
              <w:left w:val="000000" w:sz="1" w:space="0" w:color="single"/>
            </w:tcBorders>
          </w:tcPr>
          <w:p>
            <w:pPr>
              <w:jc w:val="left"/>
              <w:spacing w:lineRule="auto"/>
            </w:pPr>
            <w:r>
              <w:rPr/>
              <w:t xml:space="preserve">N/A</w:t>
            </w:r>
          </w:p>
        </w:tc>
        <w:tc>
          <w:tcPr>
            <w:tcBorders>
              <w:top w:val="000000" w:sz="1" w:space="0" w:color="single"/>
              <w:left w:val="000000" w:sz="1" w:space="0" w:color="single"/>
              <w:right w:val="000000" w:sz="1" w:space="0" w:color="single"/>
            </w:tcBorders>
          </w:tcPr>
          <w:p>
            <w:pPr>
              <w:jc w:val="left"/>
              <w:spacing w:lineRule="auto"/>
            </w:pPr>
            <w:r>
              <w:rPr/>
              <w:t xml:space="preserve">$41,445,811,232.11</w:t>
            </w:r>
          </w:p>
        </w:tc>
      </w:tr>
      <w:tr>
        <w:trPr>
          <w:cantSplit/>
        </w:trPr>
        <w:tc>
          <w:tcPr>
            <w:tcBorders>
              <w:left w:val="000000" w:sz="1" w:space="0" w:color="single"/>
            </w:tcBorders>
          </w:tcPr>
          <w:p>
            <w:pPr>
              <w:jc w:val="left"/>
              <w:spacing w:lineRule="auto"/>
            </w:pPr>
            <w:r>
              <w:rPr>
                <w:b/>
              </w:rPr>
              <w:t xml:space="preserve">USDC</w:t>
            </w:r>
          </w:p>
        </w:tc>
        <w:tc>
          <w:tcPr>
            <w:tcBorders>
              <w:left w:val="000000" w:sz="1" w:space="0" w:color="single"/>
            </w:tcBorders>
          </w:tcPr>
          <w:p>
            <w:pPr>
              <w:jc w:val="left"/>
              <w:spacing w:lineRule="auto"/>
            </w:pPr>
            <w:r>
              <w:rPr/>
              <w:t xml:space="preserve">$2,117,159,974.16</w:t>
            </w:r>
          </w:p>
        </w:tc>
        <w:tc>
          <w:tcPr>
            <w:tcBorders>
              <w:left w:val="000000" w:sz="1" w:space="0" w:color="single"/>
            </w:tcBorders>
          </w:tcPr>
          <w:p>
            <w:pPr>
              <w:jc w:val="left"/>
              <w:spacing w:lineRule="auto"/>
            </w:pPr>
            <w:r>
              <w:rPr/>
              <w:t xml:space="preserve">$2,444,081,673.27</w:t>
            </w:r>
          </w:p>
        </w:tc>
        <w:tc>
          <w:tcPr>
            <w:tcBorders>
              <w:left w:val="000000" w:sz="1" w:space="0" w:color="single"/>
              <w:right w:val="000000" w:sz="1" w:space="0" w:color="single"/>
            </w:tcBorders>
          </w:tcPr>
          <w:p>
            <w:pPr>
              <w:jc w:val="left"/>
              <w:spacing w:lineRule="auto"/>
            </w:pPr>
            <w:r>
              <w:rPr/>
              <w:t xml:space="preserve">$201,321,521,041.47</w:t>
            </w:r>
          </w:p>
        </w:tc>
      </w:tr>
      <w:tr>
        <w:trPr>
          <w:cantSplit/>
        </w:trPr>
        <w:tc>
          <w:tcPr>
            <w:tcBorders>
              <w:bottom w:val="000000" w:sz="1" w:space="0" w:color="single"/>
              <w:left w:val="000000" w:sz="1" w:space="0" w:color="single"/>
            </w:tcBorders>
          </w:tcPr>
          <w:p>
            <w:pPr>
              <w:jc w:val="left"/>
              <w:spacing w:lineRule="auto"/>
            </w:pPr>
            <w:r>
              <w:rPr>
                <w:b/>
              </w:rPr>
              <w:t xml:space="preserve">USDE</w:t>
            </w:r>
          </w:p>
        </w:tc>
        <w:tc>
          <w:tcPr>
            <w:tcBorders>
              <w:bottom w:val="000000" w:sz="1" w:space="0" w:color="single"/>
              <w:left w:val="000000" w:sz="1" w:space="0" w:color="single"/>
            </w:tcBorders>
          </w:tcPr>
          <w:p>
            <w:pPr>
              <w:jc w:val="left"/>
              <w:spacing w:lineRule="auto"/>
            </w:pPr>
            <w:r>
              <w:rPr/>
              <w:t xml:space="preserve">$107.89</w:t>
            </w:r>
          </w:p>
        </w:tc>
        <w:tc>
          <w:tcPr>
            <w:tcBorders>
              <w:bottom w:val="000000" w:sz="1" w:space="0" w:color="single"/>
              <w:left w:val="000000" w:sz="1" w:space="0" w:color="single"/>
            </w:tcBorders>
          </w:tcPr>
          <w:p>
            <w:pPr>
              <w:jc w:val="left"/>
              <w:spacing w:lineRule="auto"/>
            </w:pPr>
            <w:r>
              <w:rPr/>
              <w:t xml:space="preserve">$512,865.05</w:t>
            </w:r>
          </w:p>
        </w:tc>
        <w:tc>
          <w:tcPr>
            <w:tcBorders>
              <w:bottom w:val="000000" w:sz="1" w:space="0" w:color="single"/>
              <w:left w:val="000000" w:sz="1" w:space="0" w:color="single"/>
              <w:right w:val="000000" w:sz="1" w:space="0" w:color="single"/>
            </w:tcBorders>
          </w:tcPr>
          <w:p>
            <w:pPr>
              <w:jc w:val="left"/>
              <w:spacing w:lineRule="auto"/>
            </w:pPr>
            <w:r>
              <w:rPr/>
              <w:t xml:space="preserve">$1,237,631,957.31</w:t>
            </w:r>
          </w:p>
        </w:tc>
      </w:tr>
    </w:tbl>
    <w:p>
      <w:pPr>
        <w:spacing w:lineRule="auto"/>
      </w:pPr>
      <w:r>
        <w:rPr/>
      </w:r>
    </w:p>
    <w:p>
      <w:pPr>
        <w:spacing w:lineRule="auto"/>
      </w:pPr>
      <w:r>
        <w:rPr>
          <w:b/>
        </w:rPr>
        <w:t xml:space="preserve">Analysis of the Data:</w:t>
      </w:r>
    </w:p>
    <w:p>
      <w:pPr>
        <w:spacing w:lineRule="auto"/>
      </w:pPr>
      <w:r>
        <w:rPr/>
        <w:t xml:space="preserve">Circle's USDC saw the highest transfer volume at over $201 billion, indicating its extensive use in trading and DeFi. It also experienced substantial minting and redemption activity, with redemptions slightly outpacing mints. Tether's USDT maintained a robust transfer volume of over $41 billion, reaffirming its significant role in the market. Ethena's USDE, a newer stablecoin, showed modest mint and redemption figures but had a notable transfer volume of over $1.2 billion, suggesting growing adoption within its ecosystem.</w:t>
      </w:r>
    </w:p>
    <w:p>
      <w:pPr>
        <w:pStyle w:val="Heading4"/>
        <w:spacing w:lineRule="auto"/>
      </w:pPr>
      <w:r>
        <w:rPr>
          <w:b/>
        </w:rPr>
        <w:t xml:space="preserve">Key Market-Moving News and Developments</w:t>
      </w:r>
    </w:p>
    <w:p>
      <w:pPr>
        <w:spacing w:lineRule="auto"/>
      </w:pPr>
      <w:r>
        <w:rPr>
          <w:b/>
        </w:rPr>
        <w:t xml:space="preserve">Market-Moving News</w:t>
      </w:r>
      <w:r>
        <w:rPr/>
        <w:t xml:space="preserve"> The cryptocurrency market experienced a downturn in the last 24 hours, with the total market capitalization falling to about $3.1 trillion. Bitcoin dropped below the $90,000 mark, trading around $90,235, which triggered a broader altcoin decline. A key catalyst was the liquidation of approximately $252 million in long positions. Macroeconomic caution prevails ahead of key U.S. employment data and a Supreme Court ruling on global tariffs, with uncertainty around the Federal Reserve's monetary policy also influencing risk assets.</w:t>
      </w:r>
    </w:p>
    <w:p>
      <w:pPr>
        <w:spacing w:lineRule="auto"/>
      </w:pPr>
      <w:r>
        <w:rPr>
          <w:b/>
        </w:rPr>
        <w:t xml:space="preserve">Regulatory &amp; Policy Updates</w:t>
      </w:r>
      <w:r>
        <w:rPr/>
        <w:t xml:space="preserve"> The U.S. regulatory landscape remains a primary focus. The Senate Banking Committee has scheduled a review of the cryptocurrency market structure, signaling that regulatory clarity is a priority. There is a global trend towards more structured governance for digital assets, aiming to integrate crypto oversight with existing financial laws and establish clearer guidelines for DeFi and Web3.</w:t>
      </w:r>
    </w:p>
    <w:p>
      <w:pPr>
        <w:spacing w:lineRule="auto"/>
      </w:pPr>
      <w:r>
        <w:rPr>
          <w:b/>
        </w:rPr>
        <w:t xml:space="preserve">ETF &amp; Institutional Product Developments</w:t>
      </w:r>
      <w:r>
        <w:rPr/>
        <w:t xml:space="preserve"> Institutional adoption continues to advance. Morgan Stanley filed registration documents for an Ethereum Trust, which includes a provision for staking to generate yield, following similar filings for Bitcoin and Solana trusts. This move signals growing confidence from major financial institutions. Additionally, Bank of America's wealth management advisers have begun recommending clients consider allocating up to 4% of their portfolios to certain bitcoin ETFs. Despite these positive long-term signals, U.S.-listed spot Bitcoin ETFs saw a substantial one-day net outflow of $483 million on Wednesday, although Ethereum spot ETFs recorded net inflows.</w:t>
      </w:r>
    </w:p>
    <w:p>
      <w:pPr>
        <w:spacing w:lineRule="auto"/>
      </w:pPr>
      <w:r>
        <w:rPr>
          <w:b/>
        </w:rPr>
        <w:t xml:space="preserve">Ecosystem &amp; Technical Milestones</w:t>
      </w:r>
      <w:r>
        <w:rPr/>
        <w:t xml:space="preserve"> The Ethereum network successfully activated its second "Blob Parameter Only" (BPO-2) hard fork. This upgrade is designed to increase data capacity for rollups, enhancing the scalability and efficiency of Layer 2 solutions. Following this, the Ethereum network's throughput reached a new all-time high of 32,950 transactions per second across its layers.</w:t>
      </w:r>
    </w:p>
    <w:p>
      <w:pPr>
        <w:spacing w:lineRule="auto"/>
      </w:pPr>
      <w:r>
        <w:rPr>
          <w:b/>
        </w:rPr>
        <w:t xml:space="preserve">Security &amp; Vulnerability Incidents</w:t>
      </w:r>
      <w:r>
        <w:rPr/>
        <w:t xml:space="preserve"> A significant security vulnerability was found in Anthropic's Claude Code, which could allow attackers to execute commands without user authorization. Phishing hackers are reportedly exploiting this flaw to target crypto users. In separate incidents, security firm CertiK flagged a suspicious transaction on the IPOR PlasmaVault contract that resulted in a loss of approximately $330,000. Efforts are also ongoing to launder funds from a previous multi-signature wallet hack, with large sums being moved through Tornado Cash.</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ist"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feargreedindex.net/" TargetMode="External"/>
  <Relationship Id="rId7" Type="http://schemas.openxmlformats.org/officeDocument/2006/relationships/hyperlink" Target="https://coinmarketcap.com/charts/altcoin-season-index/" TargetMode="External"/>
  <Relationship Id="rId8" Type="http://schemas.openxmlformats.org/officeDocument/2006/relationships/hyperlink" Target="https://docs.glassnode.com/guides-and-tutorials/metric-guides/mvrv/mvrv-ratio" TargetMode="External"/>
  <Relationship Id="rId9" Type="http://schemas.openxmlformats.org/officeDocument/2006/relationships/hyperlink" Target="https://www.decentrader.com/charts/mvrv/" TargetMode="External"/>
  <Relationship Id="rId10" Type="http://schemas.openxmlformats.org/officeDocument/2006/relationships/footer" Target="footer1.xml" TargetMode="Internal"/>
  <Relationship Id="rId1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geist"/>
        <a:ea typeface="geist"/>
        <a:cs typeface=""/>
      </a:majorFont>
      <a:minorFont>
        <a:latin typeface="geist"/>
        <a:ea typeface="geist"/>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2026-01-08T19:44:45.988Z</dcterms:created>
  <dcterms:modified xsi:type="dcterms:W3CDTF">2026-01-08T19:44:45.988Z</dcterms:modified>
</cp:coreProperties>
</file>