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6"/>
          <w:szCs w:val="56"/>
        </w:rPr>
        <w:t xml:space="preserve">PRE-EXECUTION AI VERIFICATION</w:t>
      </w:r>
    </w:p>
    <w:p>
      <w:pPr>
        <w:spacing w:after="240" w:before="0"/>
      </w:pPr>
      <w:r>
        <w:rPr>
          <w:rFonts w:ascii="Arial" w:cs="Arial" w:eastAsia="Arial" w:hAnsi="Arial"/>
          <w:i/>
          <w:iCs/>
          <w:color w:val="2E75B6"/>
          <w:sz w:val="28"/>
          <w:szCs w:val="28"/>
        </w:rPr>
        <w:t xml:space="preserve">A Patent-Protected IP Portfolio for the Agentic AI Threat Surface</w:t>
      </w:r>
    </w:p>
    <w:p>
      <w:pPr>
        <w:pBdr>
          <w:bottom w:val="single" w:color="2E75B6" w:sz="8" w:space="1"/>
        </w:pBdr>
        <w:spacing w:after="160" w:before="0"/>
      </w:pPr>
      <w:r>
        <w:t xml:space="preserve"/>
      </w:r>
    </w:p>
    <w:p>
      <w:pPr>
        <w:spacing w:after="80" w:before="0"/>
      </w:pPr>
      <w:r>
        <w:rPr>
          <w:rFonts w:ascii="Arial" w:cs="Arial" w:eastAsia="Arial" w:hAnsi="Arial"/>
          <w:b/>
          <w:bCs/>
          <w:color w:val="1B2A4A"/>
          <w:sz w:val="24"/>
          <w:szCs w:val="24"/>
        </w:rPr>
        <w:t xml:space="preserve">Arbiter-as-a-Service (AaaS)  ·  Subject Confirmation System (SCS)</w:t>
      </w:r>
    </w:p>
    <w:p>
      <w:pPr>
        <w:spacing w:after="2400" w:before="0"/>
      </w:pPr>
      <w:r>
        <w:rPr>
          <w:rFonts w:ascii="Arial" w:cs="Arial" w:eastAsia="Arial" w:hAnsi="Arial"/>
          <w:color w:val="666666"/>
          <w:sz w:val="20"/>
          <w:szCs w:val="20"/>
        </w:rPr>
        <w:t xml:space="preserve">Divergence IP LLC  ·  June 2026</w:t>
      </w:r>
    </w:p>
    <w:p>
      <w:r>
        <w:br w:type="page"/>
      </w:r>
    </w:p>
    <w:p>
      <w:pPr>
        <w:pStyle w:val="Heading1"/>
        <w:spacing w:after="120" w:before="480"/>
      </w:pPr>
      <w:r>
        <w:rPr>
          <w:rFonts w:ascii="Arial" w:cs="Arial" w:eastAsia="Arial" w:hAnsi="Arial"/>
          <w:b/>
          <w:bCs/>
          <w:color w:val="1B2A4A"/>
          <w:sz w:val="36"/>
          <w:szCs w:val="36"/>
        </w:rPr>
        <w:t xml:space="preserve">1.  The Problem</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Autonomous AI agents are executing irreversible actions at scale — writing files, calling APIs, moving money, modifying infrastructure, releasing transactions — without any cryptographic proof that a confirmed human authorized the specific action before it fired.</w:t>
      </w:r>
    </w:p>
    <w:p>
      <w:pPr>
        <w:spacing w:after="160" w:before="0"/>
      </w:pPr>
      <w:r>
        <w:t xml:space="preserve"/>
      </w:r>
    </w:p>
    <w:p>
      <w:pPr>
        <w:spacing w:after="140" w:before="0"/>
      </w:pPr>
      <w:r>
        <w:rPr>
          <w:rFonts w:ascii="Arial" w:cs="Arial" w:eastAsia="Arial" w:hAnsi="Arial"/>
          <w:color w:val="1A1A1A"/>
          <w:sz w:val="22"/>
          <w:szCs w:val="22"/>
        </w:rPr>
        <w:t xml:space="preserve">The attack surface is the moment before execution. Every existing AI security tool operates after the fact: logging what happened, scoring what was submitted, or scanning what arrived. None of them own the gate.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CCCCCC" w:sz="1"/>
              <w:right w:val="single" w:color="CCCCCC" w:sz="1"/>
            </w:tcBorders>
            <w:shd w:fill="EEF3FA" w:val="clear"/>
            <w:tcMar>
              <w:top w:type="dxa" w:w="160"/>
              <w:left w:type="dxa" w:w="240"/>
              <w:bottom w:type="dxa" w:w="160"/>
              <w:right w:type="dxa" w:w="240"/>
            </w:tcMar>
          </w:tcPr>
          <w:p>
            <w:pPr>
              <w:spacing w:after="0" w:before="0"/>
            </w:pPr>
            <w:r>
              <w:rPr>
                <w:rFonts w:ascii="Arial" w:cs="Arial" w:eastAsia="Arial" w:hAnsi="Arial"/>
                <w:i/>
                <w:iCs/>
                <w:color w:val="1B2A4A"/>
                <w:sz w:val="22"/>
                <w:szCs w:val="22"/>
              </w:rPr>
              <w:t xml:space="preserve">The gap is not detection. The gap is interception — pre-execution, before the irreversible action fires, with cryptographic proof of authorization binding the human to the specific action.</w:t>
            </w:r>
          </w:p>
        </w:tc>
      </w:tr>
    </w:tbl>
    <w:p>
      <w:pPr>
        <w:spacing w:after="240" w:before="0"/>
      </w:pPr>
      <w:r>
        <w:t xml:space="preserve"/>
      </w:r>
    </w:p>
    <w:p>
      <w:pPr>
        <w:pStyle w:val="Heading2"/>
        <w:spacing w:after="100" w:before="320"/>
      </w:pPr>
      <w:r>
        <w:rPr>
          <w:rFonts w:ascii="Arial" w:cs="Arial" w:eastAsia="Arial" w:hAnsi="Arial"/>
          <w:b/>
          <w:bCs/>
          <w:color w:val="2E75B6"/>
          <w:sz w:val="26"/>
          <w:szCs w:val="26"/>
        </w:rPr>
        <w:t xml:space="preserve">The Silent-Release Problem</w:t>
      </w:r>
    </w:p>
    <w:p>
      <w:pPr>
        <w:spacing w:after="140" w:before="0"/>
      </w:pPr>
      <w:r>
        <w:rPr>
          <w:rFonts w:ascii="Arial" w:cs="Arial" w:eastAsia="Arial" w:hAnsi="Arial"/>
          <w:color w:val="1A1A1A"/>
          <w:sz w:val="22"/>
          <w:szCs w:val="22"/>
        </w:rPr>
        <w:t xml:space="preserve">In any system where an autonomous agent can execute an action without explicit human confirmation — agentic AI pipelines, automated financial workflows, clinical decision systems, industrial control — the default is silent release. The action fires. The dashboard reports success. No one can prove who authorized it, or whether authorization existed at all.</w:t>
      </w:r>
    </w:p>
    <w:p>
      <w:pPr>
        <w:spacing w:after="160" w:before="0"/>
      </w:pPr>
      <w:r>
        <w:t xml:space="preserve"/>
      </w:r>
    </w:p>
    <w:p>
      <w:pPr>
        <w:spacing w:after="140" w:before="0"/>
      </w:pPr>
      <w:r>
        <w:rPr>
          <w:rFonts w:ascii="Arial" w:cs="Arial" w:eastAsia="Arial" w:hAnsi="Arial"/>
          <w:color w:val="1A1A1A"/>
          <w:sz w:val="22"/>
          <w:szCs w:val="22"/>
        </w:rPr>
        <w:t xml:space="preserve">Silent release is not a configuration flaw. It is the architectural default of every agentic system deployed today. Three real incidents demonstrate the consequence:</w:t>
      </w:r>
    </w:p>
    <w:p>
      <w:pPr>
        <w:spacing w:after="120" w:before="0"/>
      </w:pPr>
      <w:r>
        <w:t xml:space="preserve"/>
      </w:r>
    </w:p>
    <w:p>
      <w:pPr>
        <w:pStyle w:val="ListParagraph"/>
        <w:numPr>
          <w:ilvl w:val="0"/>
          <w:numId w:val="2"/>
        </w:numPr>
        <w:spacing w:after="100" w:before="0"/>
      </w:pPr>
      <w:r>
        <w:rPr>
          <w:rFonts w:ascii="Arial" w:cs="Arial" w:eastAsia="Arial" w:hAnsi="Arial"/>
          <w:color w:val="1A1A1A"/>
          <w:sz w:val="22"/>
          <w:szCs w:val="22"/>
        </w:rPr>
        <w:t xml:space="preserve">A coding agent deleted a production volume via Railway GraphQL mutation in under 10 seconds. No gate. No confirmation. No recovery.</w:t>
      </w:r>
    </w:p>
    <w:p>
      <w:pPr>
        <w:pStyle w:val="ListParagraph"/>
        <w:numPr>
          <w:ilvl w:val="0"/>
          <w:numId w:val="2"/>
        </w:numPr>
        <w:spacing w:after="100" w:before="0"/>
      </w:pPr>
      <w:r>
        <w:rPr>
          <w:rFonts w:ascii="Arial" w:cs="Arial" w:eastAsia="Arial" w:hAnsi="Arial"/>
          <w:color w:val="1A1A1A"/>
          <w:sz w:val="22"/>
          <w:szCs w:val="22"/>
        </w:rPr>
        <w:t xml:space="preserve">A production database was deleted in a Replit deployment. The agent had the credentials and the intent — no pre-action confirmation existed to intercept either.</w:t>
      </w:r>
    </w:p>
    <w:p>
      <w:pPr>
        <w:pStyle w:val="ListParagraph"/>
        <w:numPr>
          <w:ilvl w:val="0"/>
          <w:numId w:val="2"/>
        </w:numPr>
        <w:spacing w:after="100" w:before="0"/>
      </w:pPr>
      <w:r>
        <w:rPr>
          <w:rFonts w:ascii="Arial" w:cs="Arial" w:eastAsia="Arial" w:hAnsi="Arial"/>
          <w:color w:val="1A1A1A"/>
          <w:sz w:val="22"/>
          <w:szCs w:val="22"/>
        </w:rPr>
        <w:t xml:space="preserve">Google Gemini CLI destroyed files from a hallucinated world-state. The agent believed its model of reality. No external verification was invoked before execution.</w:t>
      </w:r>
    </w:p>
    <w:p>
      <w:pPr>
        <w:spacing w:after="160" w:before="0"/>
      </w:pPr>
      <w:r>
        <w:t xml:space="preserve"/>
      </w:r>
    </w:p>
    <w:p>
      <w:pPr>
        <w:spacing w:after="140" w:before="0"/>
      </w:pPr>
      <w:r>
        <w:rPr>
          <w:rFonts w:ascii="Arial" w:cs="Arial" w:eastAsia="Arial" w:hAnsi="Arial"/>
          <w:color w:val="1A1A1A"/>
          <w:sz w:val="22"/>
          <w:szCs w:val="22"/>
        </w:rPr>
        <w:t xml:space="preserve">These are not edge cases. They are the expected behavior of agentic systems absent a pre-execution gate.</w:t>
      </w:r>
    </w:p>
    <w:p>
      <w:pPr>
        <w:spacing w:after="120" w:before="0"/>
      </w:pPr>
      <w:r>
        <w:t xml:space="preserve"/>
      </w:r>
    </w:p>
    <w:p>
      <w:r>
        <w:br w:type="page"/>
      </w:r>
    </w:p>
    <w:p>
      <w:pPr>
        <w:pStyle w:val="Heading1"/>
        <w:spacing w:after="120" w:before="480"/>
      </w:pPr>
      <w:r>
        <w:rPr>
          <w:rFonts w:ascii="Arial" w:cs="Arial" w:eastAsia="Arial" w:hAnsi="Arial"/>
          <w:b/>
          <w:bCs/>
          <w:color w:val="1B2A4A"/>
          <w:sz w:val="36"/>
          <w:szCs w:val="36"/>
        </w:rPr>
        <w:t xml:space="preserve">2.  The IP Portfolio</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Two patent-pending systems address the pre-execution gap from complementary angles. Together they form a complete pre-action verification architecture. Each deploys independently across its target verticals.</w:t>
      </w:r>
    </w:p>
    <w:p>
      <w:pPr>
        <w:spacing w:after="240" w:before="0"/>
      </w:pPr>
      <w:r>
        <w:t xml:space="preserve"/>
      </w:r>
    </w:p>
    <w:p>
      <w:pPr>
        <w:pStyle w:val="Heading2"/>
        <w:spacing w:after="100" w:before="320"/>
      </w:pPr>
      <w:r>
        <w:rPr>
          <w:rFonts w:ascii="Arial" w:cs="Arial" w:eastAsia="Arial" w:hAnsi="Arial"/>
          <w:b/>
          <w:bCs/>
          <w:color w:val="2E75B6"/>
          <w:sz w:val="26"/>
          <w:szCs w:val="26"/>
        </w:rPr>
        <w:t xml:space="preserve">Arbiter-as-a-Service (AaaS)</w:t>
      </w:r>
    </w:p>
    <w:p>
      <w:pPr>
        <w:spacing w:after="140" w:before="0"/>
      </w:pPr>
      <w:r>
        <w:rPr>
          <w:rFonts w:ascii="Arial" w:cs="Arial" w:eastAsia="Arial" w:hAnsi="Arial"/>
          <w:color w:val="1A1A1A"/>
          <w:sz w:val="22"/>
          <w:szCs w:val="22"/>
        </w:rPr>
        <w:t xml:space="preserve">AaaS is a pre-execution inline verification gate purpose-built for agentic AI systems. It intercepts every tool invocation before execution, routes it through a multi-model adversarial panel, and enforces a strict unanimity requirement before allowing the action to proceed.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CCCCCC" w:sz="1"/>
              <w:right w:val="single" w:color="CCCCCC" w:sz="1"/>
            </w:tcBorders>
            <w:shd w:fill="EEF3FA" w:val="clear"/>
            <w:tcMar>
              <w:top w:type="dxa" w:w="160"/>
              <w:left w:type="dxa" w:w="240"/>
              <w:bottom w:type="dxa" w:w="160"/>
              <w:right w:type="dxa" w:w="240"/>
            </w:tcMar>
          </w:tcPr>
          <w:p>
            <w:pPr>
              <w:spacing w:after="0" w:before="0"/>
            </w:pPr>
            <w:r>
              <w:rPr>
                <w:rFonts w:ascii="Arial" w:cs="Arial" w:eastAsia="Arial" w:hAnsi="Arial"/>
                <w:i/>
                <w:iCs/>
                <w:color w:val="1B2A4A"/>
                <w:sz w:val="22"/>
                <w:szCs w:val="22"/>
              </w:rPr>
              <w:t xml:space="preserve">Every competitor runs a single AI against a database. AaaS runs multiple independent reasoning models in parallel, extracts the divergence between them, and blocks on any dissent — surfacing the hallucinations and adversarial patterns a single model cannot see in itself.</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Pre-execution interception</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Every tool invocation is evaluated before it executes — not logged after, not scored post-hoc.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Multi-model adversarial panel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Three independent Tier-1 reasoning carriers (Claude, GPT-4o, Mistral Large) evaluate each artifact in parallel. One dissent halts the chain.</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Sequence detection</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The aggregate sequence panel evaluates full multi-hop invocation chains — detecting attack patterns invisible to per-artifact inspection.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Fail-closed on divergence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Divergence is the safety signal, not the failure mode. A dissenting panel member routes the artifact to human disposition — it does not pass.</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Egress policy enforcement</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A destination-based enforcement layer catches exfiltration patterns that evade payload-semantic detection — cross-account bucket writes, look-alike destinations.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Human-in-the-loop scaling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Operator review is applied selectively to flagged artifacts only. 96.3% of artifacts clear without human touch at $0.0023 per artifact.</w:t>
            </w:r>
          </w:p>
        </w:tc>
      </w:tr>
    </w:tbl>
    <w:p>
      <w:pPr>
        <w:spacing w:after="320" w:before="0"/>
      </w:pPr>
      <w:r>
        <w:t xml:space="preserve"/>
      </w:r>
    </w:p>
    <w:p>
      <w:pPr>
        <w:pStyle w:val="Heading2"/>
        <w:spacing w:after="100" w:before="320"/>
      </w:pPr>
      <w:r>
        <w:rPr>
          <w:rFonts w:ascii="Arial" w:cs="Arial" w:eastAsia="Arial" w:hAnsi="Arial"/>
          <w:b/>
          <w:bCs/>
          <w:color w:val="2E75B6"/>
          <w:sz w:val="26"/>
          <w:szCs w:val="26"/>
        </w:rPr>
        <w:t xml:space="preserve">Subject Confirmation System (SCS)</w:t>
      </w:r>
    </w:p>
    <w:p>
      <w:pPr>
        <w:spacing w:after="140" w:before="0"/>
      </w:pPr>
      <w:r>
        <w:rPr>
          <w:rFonts w:ascii="Arial" w:cs="Arial" w:eastAsia="Arial" w:hAnsi="Arial"/>
          <w:color w:val="1A1A1A"/>
          <w:sz w:val="22"/>
          <w:szCs w:val="22"/>
        </w:rPr>
        <w:t xml:space="preserve">SCS is a pre-action cryptographic gate that enforces the silent-release prohibition across any domain where an irreversible action requires confirmed human authorization. It is vertical-agnostic — the same architecture that closes the agentic AI gate applies directly to financial transaction authorization, clinical decision systems, and any workflow where downstream action must be cryptographically bound to a confirmed human identity.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CCCCCC" w:sz="1"/>
              <w:right w:val="single" w:color="CCCCCC" w:sz="1"/>
            </w:tcBorders>
            <w:shd w:fill="EEF3FA" w:val="clear"/>
            <w:tcMar>
              <w:top w:type="dxa" w:w="160"/>
              <w:left w:type="dxa" w:w="240"/>
              <w:bottom w:type="dxa" w:w="160"/>
              <w:right w:type="dxa" w:w="240"/>
            </w:tcMar>
          </w:tcPr>
          <w:p>
            <w:pPr>
              <w:spacing w:after="0" w:before="0"/>
            </w:pPr>
            <w:r>
              <w:rPr>
                <w:rFonts w:ascii="Arial" w:cs="Arial" w:eastAsia="Arial" w:hAnsi="Arial"/>
                <w:i/>
                <w:iCs/>
                <w:color w:val="1B2A4A"/>
                <w:sz w:val="22"/>
                <w:szCs w:val="22"/>
              </w:rPr>
              <w:t xml:space="preserve">SCS does not score the transaction. It proves a confirmed human was present and bound their identity to the specific action before it executed. That is a materially different claim than probabilistic fraud scoring.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Three-party Ed25519 binding</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Operator, subject, and system each sign. The token is the cryptographic proof of authorization. No token, no release.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Silent-release prohibition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The load-bearing novel element. SCS enforces that no action may execute without a confirmed token — silence is not consent.</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Pre-action gate</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Interception occurs before the action fires, not after. The token must exist before execution proceeds.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Vertical-agnostic deployment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The same architecture deploys across agentic AI, financial authorization, healthcare, legal/compliance, and OT/infrastructure.</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AaaS integration</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In agentic deployments, AaaS flags the artifact and SCS binds the human confirmation. The two systems form a complete pre-execution architecture.</w:t>
            </w:r>
          </w:p>
        </w:tc>
      </w:tr>
    </w:tbl>
    <w:p>
      <w:pPr>
        <w:spacing w:after="120" w:before="0"/>
      </w:pPr>
      <w:r>
        <w:t xml:space="preserve"/>
      </w:r>
    </w:p>
    <w:p>
      <w:r>
        <w:br w:type="page"/>
      </w:r>
    </w:p>
    <w:p>
      <w:pPr>
        <w:pStyle w:val="Heading1"/>
        <w:spacing w:after="120" w:before="480"/>
      </w:pPr>
      <w:r>
        <w:rPr>
          <w:rFonts w:ascii="Arial" w:cs="Arial" w:eastAsia="Arial" w:hAnsi="Arial"/>
          <w:b/>
          <w:bCs/>
          <w:color w:val="1B2A4A"/>
          <w:sz w:val="36"/>
          <w:szCs w:val="36"/>
        </w:rPr>
        <w:t xml:space="preserve">3.  Target Verticals</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The two systems address different primary markets that converge at the agentic AI layer.</w:t>
      </w:r>
    </w:p>
    <w:p>
      <w:pPr>
        <w:spacing w:after="240" w:before="0"/>
      </w:pPr>
      <w:r>
        <w:t xml:space="preserve"/>
      </w:r>
    </w:p>
    <w:p>
      <w:pPr>
        <w:pStyle w:val="Heading2"/>
        <w:spacing w:after="100" w:before="320"/>
      </w:pPr>
      <w:r>
        <w:rPr>
          <w:rFonts w:ascii="Arial" w:cs="Arial" w:eastAsia="Arial" w:hAnsi="Arial"/>
          <w:b/>
          <w:bCs/>
          <w:color w:val="2E75B6"/>
          <w:sz w:val="26"/>
          <w:szCs w:val="26"/>
        </w:rPr>
        <w:t xml:space="preserve">Agentic AI — Primary Thesis (AaaS + SCS Integrated)</w:t>
      </w:r>
    </w:p>
    <w:p>
      <w:pPr>
        <w:spacing w:after="140" w:before="0"/>
      </w:pPr>
      <w:r>
        <w:rPr>
          <w:rFonts w:ascii="Arial" w:cs="Arial" w:eastAsia="Arial" w:hAnsi="Arial"/>
          <w:color w:val="1A1A1A"/>
          <w:sz w:val="22"/>
          <w:szCs w:val="22"/>
        </w:rPr>
        <w:t xml:space="preserve">Every enterprise deploying AI agents faces the pre-execution gap. AaaS owns the threat detection surface. SCS owns the authorization binding surface. Deployed together, they close the gap completely — no tool invocation executes without both clearing.</w:t>
      </w:r>
    </w:p>
    <w:p>
      <w:pPr>
        <w:spacing w:after="160" w:before="0"/>
      </w:pPr>
      <w:r>
        <w:t xml:space="preserve"/>
      </w:r>
    </w:p>
    <w:p>
      <w:pPr>
        <w:spacing w:after="140" w:before="0"/>
      </w:pPr>
      <w:r>
        <w:rPr>
          <w:rFonts w:ascii="Arial" w:cs="Arial" w:eastAsia="Arial" w:hAnsi="Arial"/>
          <w:color w:val="1A1A1A"/>
          <w:sz w:val="22"/>
          <w:szCs w:val="22"/>
        </w:rPr>
        <w:t xml:space="preserve">The market is early and moving fast. The first IP-protected pre-execution gate to establish enterprise deployment will define the category.</w:t>
      </w:r>
    </w:p>
    <w:p>
      <w:pPr>
        <w:spacing w:after="320" w:before="0"/>
      </w:pPr>
      <w:r>
        <w:t xml:space="preserve"/>
      </w:r>
    </w:p>
    <w:p>
      <w:pPr>
        <w:pStyle w:val="Heading2"/>
        <w:spacing w:after="100" w:before="320"/>
      </w:pPr>
      <w:r>
        <w:rPr>
          <w:rFonts w:ascii="Arial" w:cs="Arial" w:eastAsia="Arial" w:hAnsi="Arial"/>
          <w:b/>
          <w:bCs/>
          <w:color w:val="2E75B6"/>
          <w:sz w:val="26"/>
          <w:szCs w:val="26"/>
        </w:rPr>
        <w:t xml:space="preserve">Financial Services — Strongest Near-Term Monetization (SCS)</w:t>
      </w:r>
    </w:p>
    <w:p>
      <w:pPr>
        <w:spacing w:after="140" w:before="0"/>
      </w:pPr>
      <w:r>
        <w:rPr>
          <w:rFonts w:ascii="Arial" w:cs="Arial" w:eastAsia="Arial" w:hAnsi="Arial"/>
          <w:color w:val="1A1A1A"/>
          <w:sz w:val="22"/>
          <w:szCs w:val="22"/>
        </w:rPr>
        <w:t xml:space="preserve">Financial services has the clearest liability math and the most established willingness to pay for authorization infrastructure.</w:t>
      </w:r>
    </w:p>
    <w:p>
      <w:pPr>
        <w:spacing w:after="160" w:before="0"/>
      </w:pPr>
      <w:r>
        <w:t xml:space="preserve"/>
      </w:r>
    </w:p>
    <w:p>
      <w:pPr>
        <w:pStyle w:val="ListParagraph"/>
        <w:numPr>
          <w:ilvl w:val="0"/>
          <w:numId w:val="2"/>
        </w:numPr>
        <w:spacing w:after="100" w:before="0"/>
      </w:pPr>
      <w:r>
        <w:rPr>
          <w:rFonts w:ascii="Arial" w:cs="Arial" w:eastAsia="Arial" w:hAnsi="Arial"/>
          <w:color w:val="1A1A1A"/>
          <w:sz w:val="22"/>
          <w:szCs w:val="22"/>
        </w:rPr>
        <w:t xml:space="preserve">Card-not-present (CNP) fraud authorization — the highest-fraud-volume surface in card payments. SCS provides cryptographic proof of confirmed human presence at authorization, not probabilistic scoring.</w:t>
      </w:r>
    </w:p>
    <w:p>
      <w:pPr>
        <w:pStyle w:val="ListParagraph"/>
        <w:numPr>
          <w:ilvl w:val="0"/>
          <w:numId w:val="2"/>
        </w:numPr>
        <w:spacing w:after="100" w:before="0"/>
      </w:pPr>
      <w:r>
        <w:rPr>
          <w:rFonts w:ascii="Arial" w:cs="Arial" w:eastAsia="Arial" w:hAnsi="Arial"/>
          <w:color w:val="1A1A1A"/>
          <w:sz w:val="22"/>
          <w:szCs w:val="22"/>
        </w:rPr>
        <w:t xml:space="preserve">Account takeover pre-action gate — new payee addition, limit change, address modification before a high-value transfer. Each is an irreversible action; SCS enforces confirmation before execution.</w:t>
      </w:r>
    </w:p>
    <w:p>
      <w:pPr>
        <w:pStyle w:val="ListParagraph"/>
        <w:numPr>
          <w:ilvl w:val="0"/>
          <w:numId w:val="2"/>
        </w:numPr>
        <w:spacing w:after="100" w:before="0"/>
      </w:pPr>
      <w:r>
        <w:rPr>
          <w:rFonts w:ascii="Arial" w:cs="Arial" w:eastAsia="Arial" w:hAnsi="Arial"/>
          <w:color w:val="1A1A1A"/>
          <w:sz w:val="22"/>
          <w:szCs w:val="22"/>
        </w:rPr>
        <w:t xml:space="preserve">Wire and ACH release — SCS binding proves the specific instruction was authorized by a confirmed identity before funds moved. Transforms the dispute resolution posture from probabilistic to cryptographic.</w:t>
      </w:r>
    </w:p>
    <w:p>
      <w:pPr>
        <w:pStyle w:val="ListParagraph"/>
        <w:numPr>
          <w:ilvl w:val="0"/>
          <w:numId w:val="2"/>
        </w:numPr>
        <w:spacing w:after="100" w:before="0"/>
      </w:pPr>
      <w:r>
        <w:rPr>
          <w:rFonts w:ascii="Arial" w:cs="Arial" w:eastAsia="Arial" w:hAnsi="Arial"/>
          <w:color w:val="1A1A1A"/>
          <w:sz w:val="22"/>
          <w:szCs w:val="22"/>
        </w:rPr>
        <w:t xml:space="preserve">High-value transaction step-up — SCS as the cryptographic layer above behavioral fraud scoring. Fraud tools say 'probably safe.' SCS says 'confirmed.'</w:t>
      </w:r>
    </w:p>
    <w:p>
      <w:pPr>
        <w:pStyle w:val="ListParagraph"/>
        <w:numPr>
          <w:ilvl w:val="0"/>
          <w:numId w:val="2"/>
        </w:numPr>
        <w:spacing w:after="100" w:before="0"/>
      </w:pPr>
      <w:r>
        <w:rPr>
          <w:rFonts w:ascii="Arial" w:cs="Arial" w:eastAsia="Arial" w:hAnsi="Arial"/>
          <w:color w:val="1A1A1A"/>
          <w:sz w:val="22"/>
          <w:szCs w:val="22"/>
        </w:rPr>
        <w:t xml:space="preserve">Trade settlement and margin call execution — pre-action gate on instructions that cannot be recalled once fired.</w:t>
      </w:r>
    </w:p>
    <w:p>
      <w:pPr>
        <w:spacing w:after="320" w:before="0"/>
      </w:pPr>
      <w:r>
        <w:t xml:space="preserve"/>
      </w:r>
    </w:p>
    <w:p>
      <w:pPr>
        <w:pStyle w:val="Heading2"/>
        <w:spacing w:after="100" w:before="320"/>
      </w:pPr>
      <w:r>
        <w:rPr>
          <w:rFonts w:ascii="Arial" w:cs="Arial" w:eastAsia="Arial" w:hAnsi="Arial"/>
          <w:b/>
          <w:bCs/>
          <w:color w:val="2E75B6"/>
          <w:sz w:val="26"/>
          <w:szCs w:val="26"/>
        </w:rPr>
        <w:t xml:space="preserve">Healthcare (SCS)</w:t>
      </w:r>
    </w:p>
    <w:p>
      <w:pPr>
        <w:spacing w:after="140" w:before="0"/>
      </w:pPr>
      <w:r>
        <w:rPr>
          <w:rFonts w:ascii="Arial" w:cs="Arial" w:eastAsia="Arial" w:hAnsi="Arial"/>
          <w:color w:val="1A1A1A"/>
          <w:sz w:val="22"/>
          <w:szCs w:val="22"/>
        </w:rPr>
        <w:t xml:space="preserve">Clinical decision systems, medication dispensing, and prior authorization workflows each involve irreversible downstream actions. SCS enforces cryptographic confirmation before the action executes — medication administered, procedure initiated, record amended. Regulatory environment rewards demonstrable authorization chains.</w:t>
      </w:r>
    </w:p>
    <w:p>
      <w:pPr>
        <w:spacing w:after="320" w:before="0"/>
      </w:pPr>
      <w:r>
        <w:t xml:space="preserve"/>
      </w:r>
    </w:p>
    <w:p>
      <w:pPr>
        <w:pStyle w:val="Heading2"/>
        <w:spacing w:after="100" w:before="320"/>
      </w:pPr>
      <w:r>
        <w:rPr>
          <w:rFonts w:ascii="Arial" w:cs="Arial" w:eastAsia="Arial" w:hAnsi="Arial"/>
          <w:b/>
          <w:bCs/>
          <w:color w:val="2E75B6"/>
          <w:sz w:val="26"/>
          <w:szCs w:val="26"/>
        </w:rPr>
        <w:t xml:space="preserve">Legal, Compliance, and OT Infrastructure (SCS)</w:t>
      </w:r>
    </w:p>
    <w:p>
      <w:pPr>
        <w:spacing w:after="140" w:before="0"/>
      </w:pPr>
      <w:r>
        <w:rPr>
          <w:rFonts w:ascii="Arial" w:cs="Arial" w:eastAsia="Arial" w:hAnsi="Arial"/>
          <w:color w:val="1A1A1A"/>
          <w:sz w:val="22"/>
          <w:szCs w:val="22"/>
        </w:rPr>
        <w:t xml:space="preserve">Contract execution, regulatory filing submission, and industrial control system commands share the same structural requirement: cryptographic proof that a confirmed human authorized the specific action before it fired. SCS deploys identically across all three.</w:t>
      </w:r>
    </w:p>
    <w:p>
      <w:pPr>
        <w:spacing w:after="120" w:before="0"/>
      </w:pPr>
      <w:r>
        <w:t xml:space="preserve"/>
      </w:r>
    </w:p>
    <w:p>
      <w:r>
        <w:br w:type="page"/>
      </w:r>
    </w:p>
    <w:p>
      <w:pPr>
        <w:pStyle w:val="Heading1"/>
        <w:spacing w:after="120" w:before="480"/>
      </w:pPr>
      <w:r>
        <w:rPr>
          <w:rFonts w:ascii="Arial" w:cs="Arial" w:eastAsia="Arial" w:hAnsi="Arial"/>
          <w:b/>
          <w:bCs/>
          <w:color w:val="1B2A4A"/>
          <w:sz w:val="36"/>
          <w:szCs w:val="36"/>
        </w:rPr>
        <w:t xml:space="preserve">4.  Validated Performance</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AaaS has been validated against a 318-artifact benchmark corpus mapped to the MITRE ATLAS adversarial AI threat framework — the authoritative taxonomy for AI security threats. The corpus represents realistic production agentic system traffic with adversarial artifacts inserted at realistic intervals.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318</w:t>
            </w:r>
          </w:p>
          <w:p>
            <w:pPr>
              <w:spacing w:after="0" w:before="0"/>
            </w:pPr>
            <w:r>
              <w:rPr>
                <w:rFonts w:ascii="Arial" w:cs="Arial" w:eastAsia="Arial" w:hAnsi="Arial"/>
                <w:color w:val="666666"/>
                <w:sz w:val="18"/>
                <w:szCs w:val="18"/>
              </w:rPr>
              <w:t xml:space="preserve">Total corpus artifacts</w:t>
            </w:r>
          </w:p>
        </w:tc>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21 / 21 recalled</w:t>
            </w:r>
          </w:p>
          <w:p>
            <w:pPr>
              <w:spacing w:after="0" w:before="0"/>
            </w:pPr>
            <w:r>
              <w:rPr>
                <w:rFonts w:ascii="Arial" w:cs="Arial" w:eastAsia="Arial" w:hAnsi="Arial"/>
                <w:color w:val="666666"/>
                <w:sz w:val="18"/>
                <w:szCs w:val="18"/>
              </w:rPr>
              <w:t xml:space="preserve">Designed-block threats</w:t>
            </w:r>
          </w:p>
        </w:tc>
      </w:tr>
      <w:tr>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15</w:t>
            </w:r>
          </w:p>
          <w:p>
            <w:pPr>
              <w:spacing w:after="0" w:before="0"/>
            </w:pPr>
            <w:r>
              <w:rPr>
                <w:rFonts w:ascii="Arial" w:cs="Arial" w:eastAsia="Arial" w:hAnsi="Arial"/>
                <w:color w:val="666666"/>
                <w:sz w:val="18"/>
                <w:szCs w:val="18"/>
              </w:rPr>
              <w:t xml:space="preserve">Individual threat scenarios</w:t>
            </w:r>
          </w:p>
        </w:tc>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6 / 6 blocked</w:t>
            </w:r>
          </w:p>
          <w:p>
            <w:pPr>
              <w:spacing w:after="0" w:before="0"/>
            </w:pPr>
            <w:r>
              <w:rPr>
                <w:rFonts w:ascii="Arial" w:cs="Arial" w:eastAsia="Arial" w:hAnsi="Arial"/>
                <w:color w:val="666666"/>
                <w:sz w:val="18"/>
                <w:szCs w:val="18"/>
              </w:rPr>
              <w:t xml:space="preserve">Multi-hop chain attacks</w:t>
            </w:r>
          </w:p>
        </w:tc>
      </w:tr>
      <w:tr>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12</w:t>
            </w:r>
          </w:p>
          <w:p>
            <w:pPr>
              <w:spacing w:after="0" w:before="0"/>
            </w:pPr>
            <w:r>
              <w:rPr>
                <w:rFonts w:ascii="Arial" w:cs="Arial" w:eastAsia="Arial" w:hAnsi="Arial"/>
                <w:color w:val="666666"/>
                <w:sz w:val="18"/>
                <w:szCs w:val="18"/>
              </w:rPr>
              <w:t xml:space="preserve">Distinct MITRE ATLAS techniques</w:t>
            </w:r>
          </w:p>
        </w:tc>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3.0 – 3.7%</w:t>
            </w:r>
          </w:p>
          <w:p>
            <w:pPr>
              <w:spacing w:after="0" w:before="0"/>
            </w:pPr>
            <w:r>
              <w:rPr>
                <w:rFonts w:ascii="Arial" w:cs="Arial" w:eastAsia="Arial" w:hAnsi="Arial"/>
                <w:color w:val="666666"/>
                <w:sz w:val="18"/>
                <w:szCs w:val="18"/>
              </w:rPr>
              <w:t xml:space="preserve">False positive (operator touch) rate</w:t>
            </w:r>
          </w:p>
        </w:tc>
      </w:tr>
      <w:tr>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$0.0023</w:t>
            </w:r>
          </w:p>
          <w:p>
            <w:pPr>
              <w:spacing w:after="0" w:before="0"/>
            </w:pPr>
            <w:r>
              <w:rPr>
                <w:rFonts w:ascii="Arial" w:cs="Arial" w:eastAsia="Arial" w:hAnsi="Arial"/>
                <w:color w:val="666666"/>
                <w:sz w:val="18"/>
                <w:szCs w:val="18"/>
              </w:rPr>
              <w:t xml:space="preserve">Cost per artifact</w:t>
            </w:r>
          </w:p>
        </w:tc>
        <w:tc>
          <w:tcPr>
            <w:tcW w:type="dxa" w:w="4680"/>
            <w:tcBorders>
              <w:top w:val="single" w:color="CCCCCC" w:sz="1"/>
              <w:left w:val="single" w:color="CCCCCC" w:sz="1"/>
              <w:bottom w:val="single" w:color="CCCCCC" w:sz="1"/>
              <w:right w:val="single" w:color="CCCCCC" w:sz="1"/>
            </w:tcBorders>
            <w:shd w:fill="EEF3FA" w:val="clear"/>
            <w:tcMar>
              <w:top w:type="dxa" w:w="120"/>
              <w:left w:type="dxa" w:w="180"/>
              <w:bottom w:type="dxa" w:w="120"/>
              <w:right w:type="dxa" w:w="180"/>
            </w:tcMar>
          </w:tcPr>
          <w:p>
            <w:pPr>
              <w:spacing w:after="40" w:before="0"/>
            </w:pPr>
            <w:r>
              <w:rPr>
                <w:rFonts w:ascii="Arial" w:cs="Arial" w:eastAsia="Arial" w:hAnsi="Arial"/>
                <w:b/>
                <w:bCs/>
                <w:color w:val="2E75B6"/>
                <w:sz w:val="36"/>
                <w:szCs w:val="36"/>
              </w:rPr>
              <w:t xml:space="preserve">0</w:t>
            </w:r>
          </w:p>
          <w:p>
            <w:pPr>
              <w:spacing w:after="0" w:before="0"/>
            </w:pPr>
            <w:r>
              <w:rPr>
                <w:rFonts w:ascii="Arial" w:cs="Arial" w:eastAsia="Arial" w:hAnsi="Arial"/>
                <w:color w:val="666666"/>
                <w:sz w:val="18"/>
                <w:szCs w:val="18"/>
              </w:rPr>
              <w:t xml:space="preserve">Chain escapes</w:t>
            </w:r>
          </w:p>
        </w:tc>
      </w:tr>
    </w:tbl>
    <w:p>
      <w:pPr>
        <w:spacing w:after="320" w:before="0"/>
      </w:pPr>
      <w:r>
        <w:t xml:space="preserve"/>
      </w:r>
    </w:p>
    <w:p>
      <w:pPr>
        <w:pStyle w:val="Heading2"/>
        <w:spacing w:after="100" w:before="320"/>
      </w:pPr>
      <w:r>
        <w:rPr>
          <w:rFonts w:ascii="Arial" w:cs="Arial" w:eastAsia="Arial" w:hAnsi="Arial"/>
          <w:b/>
          <w:bCs/>
          <w:color w:val="2E75B6"/>
          <w:sz w:val="26"/>
          <w:szCs w:val="26"/>
        </w:rPr>
        <w:t xml:space="preserve">The Chain Threat: What Single-Artifact Tools Cannot See</w:t>
      </w:r>
    </w:p>
    <w:p>
      <w:pPr>
        <w:spacing w:after="140" w:before="0"/>
      </w:pPr>
      <w:r>
        <w:rPr>
          <w:rFonts w:ascii="Arial" w:cs="Arial" w:eastAsia="Arial" w:hAnsi="Arial"/>
          <w:color w:val="1A1A1A"/>
          <w:sz w:val="22"/>
          <w:szCs w:val="22"/>
        </w:rPr>
        <w:t xml:space="preserve">Six multi-hop attack chains were inserted across the 318-artifact corpus. Each chain decomposes a malicious objective into individually-benign tool invocations — no single hop triggers a per-artifact detector. The harmful intent is visible only in the aggregate sequence. This attack class is invisible to every existing AI security tool by design.</w:t>
      </w:r>
    </w:p>
    <w:p>
      <w:pPr>
        <w:spacing w:after="160" w:before="0"/>
      </w:pPr>
      <w:r>
        <w:t xml:space="preserve"/>
      </w:r>
    </w:p>
    <w:p>
      <w:pPr>
        <w:spacing w:after="140" w:before="0"/>
      </w:pPr>
      <w:r>
        <w:rPr>
          <w:rFonts w:ascii="Arial" w:cs="Arial" w:eastAsia="Arial" w:hAnsi="Arial"/>
          <w:color w:val="1A1A1A"/>
          <w:sz w:val="22"/>
          <w:szCs w:val="22"/>
        </w:rPr>
        <w:t xml:space="preserve">All six chains were blocked before the terminal hop executed. Zero chain escapes across the full run.</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60"/>
        <w:gridCol w:w="800"/>
        <w:gridCol w:w="3600"/>
      </w:tblGrid>
      <w:t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Chain</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Attack Pattern</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Hops</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Catch Layer</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CHAIN-A</w:t>
            </w:r>
          </w:p>
        </w:tc>
        <w:tc>
          <w:tcPr>
            <w:tcW w:type="dxa" w:w="3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Credential harvest — sequential token reads, staged assembly</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3</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Layer 2 — sequence panel (divergent fail-closed)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CHAIN-B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Data exfiltration to cross-account storage bucket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Layer 3 — egress policy (destination outside account boundary)</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CHAIN-C</w:t>
            </w:r>
          </w:p>
        </w:tc>
        <w:tc>
          <w:tcPr>
            <w:tcW w:type="dxa" w:w="3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Privilege escalation via role accumulation</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3</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Layer 2 — sequence panel (unanimous block)</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CHAIN-D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RAG / knowledge base poisoning (consecutive hops)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Layer 2 — sequence panel (divergent fail-closed)</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CHAIN-E</w:t>
            </w:r>
          </w:p>
        </w:tc>
        <w:tc>
          <w:tcPr>
            <w:tcW w:type="dxa" w:w="3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Supply-chain dependency substitution across build pipeline</w:t>
            </w:r>
          </w:p>
        </w:tc>
        <w:tc>
          <w:tcPr>
            <w:tcW w:type="dxa" w:w="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4</w:t>
            </w:r>
          </w:p>
        </w:tc>
        <w:tc>
          <w:tcPr>
            <w:tcW w:type="dxa" w:w="3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Layer 2 — sequence panel (divergent fail-closed)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18"/>
                <w:szCs w:val="18"/>
              </w:rPr>
              <w:t xml:space="preserve">CHAIN-F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Persistent backdoor via configuration modification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8"/>
                <w:szCs w:val="18"/>
              </w:rPr>
              <w:t xml:space="preserve">Layer 2 — sequence panel (unanimous block)</w:t>
            </w:r>
          </w:p>
        </w:tc>
      </w:tr>
    </w:tbl>
    <w:p>
      <w:pPr>
        <w:spacing w:after="240" w:before="0"/>
      </w:pPr>
      <w:r>
        <w:t xml:space="preserve"/>
      </w:r>
    </w:p>
    <w:p>
      <w:pPr>
        <w:pStyle w:val="Heading2"/>
        <w:spacing w:after="100" w:before="320"/>
      </w:pPr>
      <w:r>
        <w:rPr>
          <w:rFonts w:ascii="Arial" w:cs="Arial" w:eastAsia="Arial" w:hAnsi="Arial"/>
          <w:b/>
          <w:bCs/>
          <w:color w:val="2E75B6"/>
          <w:sz w:val="26"/>
          <w:szCs w:val="26"/>
        </w:rPr>
        <w:t xml:space="preserve">Three-Layer Defense Architecture</w:t>
      </w:r>
    </w:p>
    <w:p>
      <w:pPr>
        <w:spacing w:after="140" w:before="0"/>
      </w:pPr>
      <w:r>
        <w:rPr>
          <w:rFonts w:ascii="Arial" w:cs="Arial" w:eastAsia="Arial" w:hAnsi="Arial"/>
          <w:color w:val="1A1A1A"/>
          <w:sz w:val="22"/>
          <w:szCs w:val="22"/>
        </w:rPr>
        <w:t xml:space="preserve">The detection result across all 21 designed-block artifacts was achieved through three independent enforcement layers:</w:t>
      </w:r>
    </w:p>
    <w:p>
      <w:pPr>
        <w:spacing w:after="120" w:before="0"/>
      </w:pPr>
      <w:r>
        <w:t xml:space="preserve"/>
      </w:r>
    </w:p>
    <w:p>
      <w:pPr>
        <w:pStyle w:val="ListParagraph"/>
        <w:numPr>
          <w:ilvl w:val="0"/>
          <w:numId w:val="2"/>
        </w:numPr>
        <w:spacing w:after="100" w:before="0"/>
      </w:pPr>
      <w:r>
        <w:rPr>
          <w:rFonts w:ascii="Arial" w:cs="Arial" w:eastAsia="Arial" w:hAnsi="Arial"/>
          <w:color w:val="1A1A1A"/>
          <w:sz w:val="22"/>
          <w:szCs w:val="22"/>
        </w:rPr>
        <w:t xml:space="preserve">Layer 1 — Per-artifact panel: Individual artifacts with insufficient tradecraft are caught before reaching the sequence panel.</w:t>
      </w:r>
    </w:p>
    <w:p>
      <w:pPr>
        <w:pStyle w:val="ListParagraph"/>
        <w:numPr>
          <w:ilvl w:val="0"/>
          <w:numId w:val="2"/>
        </w:numPr>
        <w:spacing w:after="100" w:before="0"/>
      </w:pPr>
      <w:r>
        <w:rPr>
          <w:rFonts w:ascii="Arial" w:cs="Arial" w:eastAsia="Arial" w:hAnsi="Arial"/>
          <w:color w:val="1A1A1A"/>
          <w:sz w:val="22"/>
          <w:szCs w:val="22"/>
        </w:rPr>
        <w:t xml:space="preserve">Layer 2 — Aggregate sequence panel: Five of six chain variants caught here. Multi-model first-principles reasoning — not an enumerated denylist — enables detection of novel chain patterns.</w:t>
      </w:r>
    </w:p>
    <w:p>
      <w:pPr>
        <w:pStyle w:val="ListParagraph"/>
        <w:numPr>
          <w:ilvl w:val="0"/>
          <w:numId w:val="2"/>
        </w:numPr>
        <w:spacing w:after="100" w:before="0"/>
      </w:pPr>
      <w:r>
        <w:rPr>
          <w:rFonts w:ascii="Arial" w:cs="Arial" w:eastAsia="Arial" w:hAnsi="Arial"/>
          <w:color w:val="1A1A1A"/>
          <w:sz w:val="22"/>
          <w:szCs w:val="22"/>
        </w:rPr>
        <w:t xml:space="preserve">Layer 3 — Egress policy aggregator: Destination-based enforcement catches exfiltration to look-alike cross-account destinations where payload-semantic detection reaches its limit. CHAIN-B was caught exclusively at this layer.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CCCCCC" w:sz="1"/>
              <w:right w:val="single" w:color="CCCCCC" w:sz="1"/>
            </w:tcBorders>
            <w:shd w:fill="EEF3FA" w:val="clear"/>
            <w:tcMar>
              <w:top w:type="dxa" w:w="160"/>
              <w:left w:type="dxa" w:w="240"/>
              <w:bottom w:type="dxa" w:w="160"/>
              <w:right w:type="dxa" w:w="240"/>
            </w:tcMar>
          </w:tcPr>
          <w:p>
            <w:pPr>
              <w:spacing w:after="0" w:before="0"/>
            </w:pPr>
            <w:r>
              <w:rPr>
                <w:rFonts w:ascii="Arial" w:cs="Arial" w:eastAsia="Arial" w:hAnsi="Arial"/>
                <w:i/>
                <w:iCs/>
                <w:color w:val="1B2A4A"/>
                <w:sz w:val="22"/>
                <w:szCs w:val="22"/>
              </w:rPr>
              <w:t xml:space="preserve">CHAIN-B demonstrates a detection surface that does not exist in any other tool: the sequence panel allowed it; egress enforcement caught it. Defense-in-depth is not a marketing claim — it is a measurable architectural property.</w:t>
            </w:r>
          </w:p>
        </w:tc>
      </w:tr>
    </w:tbl>
    <w:p>
      <w:pPr>
        <w:spacing w:after="160" w:before="0"/>
      </w:pPr>
      <w:r>
        <w:t xml:space="preserve"/>
      </w:r>
    </w:p>
    <w:p>
      <w:pPr>
        <w:spacing w:after="140" w:before="0"/>
      </w:pPr>
      <w:r>
        <w:rPr>
          <w:rFonts w:ascii="Arial" w:cs="Arial" w:eastAsia="Arial" w:hAnsi="Arial"/>
          <w:color w:val="1A1A1A"/>
          <w:sz w:val="22"/>
          <w:szCs w:val="22"/>
        </w:rPr>
        <w:t xml:space="preserve">The false positive rate of 3.0–3.7% represents the operator review floor for a multi-model reasoning panel operating on realistic production traffic. Artifacts routed to operator review are held, not passed — the fail-closed invariant applies to the full corpus, not just designed-block artifacts.</w:t>
      </w:r>
    </w:p>
    <w:p>
      <w:pPr>
        <w:spacing w:after="120" w:before="0"/>
      </w:pPr>
      <w:r>
        <w:t xml:space="preserve"/>
      </w:r>
    </w:p>
    <w:p>
      <w:r>
        <w:br w:type="page"/>
      </w:r>
    </w:p>
    <w:p>
      <w:pPr>
        <w:pStyle w:val="Heading1"/>
        <w:spacing w:after="120" w:before="480"/>
      </w:pPr>
      <w:r>
        <w:rPr>
          <w:rFonts w:ascii="Arial" w:cs="Arial" w:eastAsia="Arial" w:hAnsi="Arial"/>
          <w:b/>
          <w:bCs/>
          <w:color w:val="1B2A4A"/>
          <w:sz w:val="36"/>
          <w:szCs w:val="36"/>
        </w:rPr>
        <w:t xml:space="preserve">5.  MITRE ATLAS Technique Contribution</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The multi-hop chain attack pattern validated in this benchmark does not exist as a named technique in the MITRE ATLAS matrix. A formal technique contribution — "Multi-Step Agent Tool Chain Attack" — has been prepared for submission to MITRE under the Collection tactic (AML.TA0035) at Demonstrated maturity.</w:t>
      </w:r>
    </w:p>
    <w:p>
      <w:pPr>
        <w:spacing w:after="160" w:before="0"/>
      </w:pPr>
      <w:r>
        <w:t xml:space="preserve"/>
      </w:r>
    </w:p>
    <w:p>
      <w:pPr>
        <w:spacing w:after="140" w:before="0"/>
      </w:pPr>
      <w:r>
        <w:rPr>
          <w:rFonts w:ascii="Arial" w:cs="Arial" w:eastAsia="Arial" w:hAnsi="Arial"/>
          <w:color w:val="1A1A1A"/>
          <w:sz w:val="22"/>
          <w:szCs w:val="22"/>
        </w:rPr>
        <w:t xml:space="preserve">The contribution documents the detection gap, the six validated procedure variants, the three-layer detection architecture, and the mapping to existing ATLAS mitigations M0030 and M0029. MITRE ATLAS is the authoritative taxonomy for adversarial AI threats — the equivalent of MITRE ATT&amp;CK for traditional cybersecurity.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CCCCCC" w:sz="1"/>
              <w:right w:val="single" w:color="CCCCCC" w:sz="1"/>
            </w:tcBorders>
            <w:shd w:fill="EEF3FA" w:val="clear"/>
            <w:tcMar>
              <w:top w:type="dxa" w:w="160"/>
              <w:left w:type="dxa" w:w="240"/>
              <w:bottom w:type="dxa" w:w="160"/>
              <w:right w:type="dxa" w:w="240"/>
            </w:tcMar>
          </w:tcPr>
          <w:p>
            <w:pPr>
              <w:spacing w:after="0" w:before="0"/>
            </w:pPr>
            <w:r>
              <w:rPr>
                <w:rFonts w:ascii="Arial" w:cs="Arial" w:eastAsia="Arial" w:hAnsi="Arial"/>
                <w:i/>
                <w:iCs/>
                <w:color w:val="1B2A4A"/>
                <w:sz w:val="22"/>
                <w:szCs w:val="22"/>
              </w:rPr>
              <w:t xml:space="preserve">A validated technique contribution to MITRE ATLAS positions AaaS as the reference implementation for the attack class it discovered and the only system demonstrated to block it.</w:t>
            </w:r>
          </w:p>
        </w:tc>
      </w:tr>
    </w:tbl>
    <w:p>
      <w:pPr>
        <w:spacing w:after="120" w:before="0"/>
      </w:pPr>
      <w:r>
        <w:t xml:space="preserve"/>
      </w:r>
    </w:p>
    <w:p>
      <w:r>
        <w:br w:type="page"/>
      </w:r>
    </w:p>
    <w:p>
      <w:pPr>
        <w:pStyle w:val="Heading1"/>
        <w:spacing w:after="120" w:before="480"/>
      </w:pPr>
      <w:r>
        <w:rPr>
          <w:rFonts w:ascii="Arial" w:cs="Arial" w:eastAsia="Arial" w:hAnsi="Arial"/>
          <w:b/>
          <w:bCs/>
          <w:color w:val="1B2A4A"/>
          <w:sz w:val="36"/>
          <w:szCs w:val="36"/>
        </w:rPr>
        <w:t xml:space="preserve">6.  IP Position</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Both systems are covered by patent-pending provisional applications filed with the USPTO under micro entity status. The IP boundary is closed — five provisional filings covering the full portfolio were completed as of June 2026.</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Capability</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AaaS — Arbiter-as-a-Service</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Pre-execution inline verification gate for machine-readable artifacts. Multi-model adversarial panel. Sequence detection. Fail-closed divergence invariant.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SCS — Subject Confirmation System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Pre-action cryptographic gate. Three-party Ed25519 binding. Silent-release prohibition as load-bearing novel element. Vertical-agnostic.</w:t>
            </w:r>
          </w:p>
        </w:tc>
      </w:tr>
      <w:tr>
        <w:tc>
          <w:tcPr>
            <w:tcW w:type="dxa" w:w="300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Filing status</w:t>
            </w:r>
          </w:p>
        </w:tc>
        <w:tc>
          <w:tcPr>
            <w:tcW w:type="dxa" w:w="6360"/>
            <w:tcBorders>
              <w:top w:val="single" w:color="CCCCCC" w:sz="1"/>
              <w:left w:val="single" w:color="CCCCCC" w:sz="1"/>
              <w:bottom w:val="single" w:color="CCCCCC" w:sz="1"/>
              <w:right w:val="single" w:color="CCCCCC" w:sz="1"/>
            </w:tcBorders>
            <w:shd w:fill="EEF3FA"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Patent-pending provisional applications, USPTO. Micro entity. Non-provisional deadlines 2027.</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b/>
                <w:bCs/>
                <w:color w:val="1B2A4A"/>
                <w:sz w:val="20"/>
                <w:szCs w:val="20"/>
              </w:rPr>
              <w:t xml:space="preserve">IP boundary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0" w:before="0"/>
            </w:pPr>
            <w:r>
              <w:rPr>
                <w:rFonts w:ascii="Arial" w:cs="Arial" w:eastAsia="Arial" w:hAnsi="Arial"/>
                <w:color w:val="1A1A1A"/>
                <w:sz w:val="20"/>
                <w:szCs w:val="20"/>
              </w:rPr>
              <w:t xml:space="preserve">Five provisional filings closed June 2026. Forward work is engineering execution and commercial positioning against existing IP.</w:t>
            </w:r>
          </w:p>
        </w:tc>
      </w:tr>
    </w:tbl>
    <w:p>
      <w:pPr>
        <w:spacing w:after="320" w:before="0"/>
      </w:pPr>
      <w:r>
        <w:t xml:space="preserve"/>
      </w:r>
    </w:p>
    <w:p>
      <w:pPr>
        <w:pStyle w:val="Heading2"/>
        <w:spacing w:after="100" w:before="320"/>
      </w:pPr>
      <w:r>
        <w:rPr>
          <w:rFonts w:ascii="Arial" w:cs="Arial" w:eastAsia="Arial" w:hAnsi="Arial"/>
          <w:b/>
          <w:bCs/>
          <w:color w:val="2E75B6"/>
          <w:sz w:val="26"/>
          <w:szCs w:val="26"/>
        </w:rPr>
        <w:t xml:space="preserve">Why the Window Is Now</w:t>
      </w:r>
    </w:p>
    <w:p>
      <w:pPr>
        <w:spacing w:after="140" w:before="0"/>
      </w:pPr>
      <w:r>
        <w:rPr>
          <w:rFonts w:ascii="Arial" w:cs="Arial" w:eastAsia="Arial" w:hAnsi="Arial"/>
          <w:color w:val="1A1A1A"/>
          <w:sz w:val="22"/>
          <w:szCs w:val="22"/>
        </w:rPr>
        <w:t xml:space="preserve">Agentic AI deployment is accelerating across enterprise, financial services, and healthcare. The regulatory and liability environment around autonomous AI action is hardening. The first IP-protected pre-execution gate to achieve enterprise deployment will define the category standard.</w:t>
      </w:r>
    </w:p>
    <w:p>
      <w:pPr>
        <w:spacing w:after="160" w:before="0"/>
      </w:pPr>
      <w:r>
        <w:t xml:space="preserve"/>
      </w:r>
    </w:p>
    <w:p>
      <w:pPr>
        <w:spacing w:after="140" w:before="0"/>
      </w:pPr>
      <w:r>
        <w:rPr>
          <w:rFonts w:ascii="Arial" w:cs="Arial" w:eastAsia="Arial" w:hAnsi="Arial"/>
          <w:color w:val="1A1A1A"/>
          <w:sz w:val="22"/>
          <w:szCs w:val="22"/>
        </w:rPr>
        <w:t xml:space="preserve">The incidents that make this IP necessary are no longer hypothetical — they are in the press, in the litigation pipeline, and in the boardroom. The window to own the standard before it is written by committee is measured in months, not years.</w:t>
      </w:r>
    </w:p>
    <w:p>
      <w:pPr>
        <w:spacing w:after="120" w:before="0"/>
      </w:pPr>
      <w:r>
        <w:t xml:space="preserve"/>
      </w:r>
    </w:p>
    <w:p>
      <w:r>
        <w:br w:type="page"/>
      </w:r>
    </w:p>
    <w:p>
      <w:pPr>
        <w:pStyle w:val="Heading1"/>
        <w:spacing w:after="120" w:before="480"/>
      </w:pPr>
      <w:r>
        <w:rPr>
          <w:rFonts w:ascii="Arial" w:cs="Arial" w:eastAsia="Arial" w:hAnsi="Arial"/>
          <w:b/>
          <w:bCs/>
          <w:color w:val="1B2A4A"/>
          <w:sz w:val="36"/>
          <w:szCs w:val="36"/>
        </w:rPr>
        <w:t xml:space="preserve">7.  Engagement</w:t>
      </w:r>
    </w:p>
    <w:p>
      <w:pPr>
        <w:pBdr>
          <w:bottom w:val="single" w:color="2E75B6" w:sz="8" w:space="1"/>
        </w:pBdr>
        <w:spacing w:after="160" w:before="0"/>
      </w:pPr>
      <w:r>
        <w:t xml:space="preserve"/>
      </w:r>
    </w:p>
    <w:p>
      <w:pPr>
        <w:spacing w:after="140" w:before="0"/>
      </w:pPr>
      <w:r>
        <w:rPr>
          <w:rFonts w:ascii="Arial" w:cs="Arial" w:eastAsia="Arial" w:hAnsi="Arial"/>
          <w:color w:val="1A1A1A"/>
          <w:sz w:val="22"/>
          <w:szCs w:val="22"/>
        </w:rPr>
        <w:t xml:space="preserve">This IP portfolio is available for licensing, acquisition, embedded deployment partnership, or vertical joint venture. The systems are implemented, validated, and production-ready. The IP position is protected.</w:t>
      </w:r>
    </w:p>
    <w:p>
      <w:pPr>
        <w:spacing w:after="240" w:before="0"/>
      </w:pPr>
      <w:r>
        <w:t xml:space="preserve"/>
      </w:r>
    </w:p>
    <w:p>
      <w:pPr>
        <w:pStyle w:val="Heading2"/>
        <w:spacing w:after="100" w:before="320"/>
      </w:pPr>
      <w:r>
        <w:rPr>
          <w:rFonts w:ascii="Arial" w:cs="Arial" w:eastAsia="Arial" w:hAnsi="Arial"/>
          <w:b/>
          <w:bCs/>
          <w:color w:val="2E75B6"/>
          <w:sz w:val="26"/>
          <w:szCs w:val="26"/>
        </w:rPr>
        <w:t xml:space="preserve">Engagement Models</w:t>
      </w:r>
    </w:p>
    <w:p>
      <w:pPr>
        <w:pStyle w:val="ListParagraph"/>
        <w:numPr>
          <w:ilvl w:val="0"/>
          <w:numId w:val="2"/>
        </w:numPr>
        <w:spacing w:after="100" w:before="0"/>
      </w:pPr>
      <w:r>
        <w:rPr>
          <w:rFonts w:ascii="Arial" w:cs="Arial" w:eastAsia="Arial" w:hAnsi="Arial"/>
          <w:color w:val="1A1A1A"/>
          <w:sz w:val="22"/>
          <w:szCs w:val="22"/>
        </w:rPr>
        <w:t xml:space="preserve">License — royalty-bearing license to deploy AaaS and/or SCS within a defined vertical or geographic scope.</w:t>
      </w:r>
    </w:p>
    <w:p>
      <w:pPr>
        <w:pStyle w:val="ListParagraph"/>
        <w:numPr>
          <w:ilvl w:val="0"/>
          <w:numId w:val="2"/>
        </w:numPr>
        <w:spacing w:after="100" w:before="0"/>
      </w:pPr>
      <w:r>
        <w:rPr>
          <w:rFonts w:ascii="Arial" w:cs="Arial" w:eastAsia="Arial" w:hAnsi="Arial"/>
          <w:color w:val="1A1A1A"/>
          <w:sz w:val="22"/>
          <w:szCs w:val="22"/>
        </w:rPr>
        <w:t xml:space="preserve">Acquisition — full portfolio acquisition covering both systems and all five provisional filings.</w:t>
      </w:r>
    </w:p>
    <w:p>
      <w:pPr>
        <w:pStyle w:val="ListParagraph"/>
        <w:numPr>
          <w:ilvl w:val="0"/>
          <w:numId w:val="2"/>
        </w:numPr>
        <w:spacing w:after="100" w:before="0"/>
      </w:pPr>
      <w:r>
        <w:rPr>
          <w:rFonts w:ascii="Arial" w:cs="Arial" w:eastAsia="Arial" w:hAnsi="Arial"/>
          <w:color w:val="1A1A1A"/>
          <w:sz w:val="22"/>
          <w:szCs w:val="22"/>
        </w:rPr>
        <w:t xml:space="preserve">Embedded partnership — OEM integration of AaaS or SCS into an existing platform (security, fraud, compliance, agentic AI infrastructure).</w:t>
      </w:r>
    </w:p>
    <w:p>
      <w:pPr>
        <w:pStyle w:val="ListParagraph"/>
        <w:numPr>
          <w:ilvl w:val="0"/>
          <w:numId w:val="2"/>
        </w:numPr>
        <w:spacing w:after="100" w:before="0"/>
      </w:pPr>
      <w:r>
        <w:rPr>
          <w:rFonts w:ascii="Arial" w:cs="Arial" w:eastAsia="Arial" w:hAnsi="Arial"/>
          <w:color w:val="1A1A1A"/>
          <w:sz w:val="22"/>
          <w:szCs w:val="22"/>
        </w:rPr>
        <w:t xml:space="preserve">Vertical joint venture — co-development and go-to-market for a specific vertical (financial services, healthcare, OT) with shared IP rights.</w:t>
      </w:r>
    </w:p>
    <w:p>
      <w:pPr>
        <w:spacing w:after="320" w:before="0"/>
      </w:pPr>
      <w:r>
        <w:t xml:space="preserve"/>
      </w:r>
    </w:p>
    <w:p>
      <w:pPr>
        <w:pStyle w:val="Heading2"/>
        <w:spacing w:after="100" w:before="320"/>
      </w:pPr>
      <w:r>
        <w:rPr>
          <w:rFonts w:ascii="Arial" w:cs="Arial" w:eastAsia="Arial" w:hAnsi="Arial"/>
          <w:b/>
          <w:bCs/>
          <w:color w:val="2E75B6"/>
          <w:sz w:val="26"/>
          <w:szCs w:val="26"/>
        </w:rPr>
        <w:t xml:space="preserve">Contact</w:t>
      </w:r>
    </w:p>
    <w:p>
      <w:pPr>
        <w:spacing w:after="140" w:before="0"/>
      </w:pPr>
      <w:r>
        <w:rPr>
          <w:rFonts w:ascii="Arial" w:cs="Arial" w:eastAsia="Arial" w:hAnsi="Arial"/>
          <w:color w:val="1A1A1A"/>
          <w:sz w:val="22"/>
          <w:szCs w:val="22"/>
        </w:rPr>
        <w:t xml:space="preserve">All inquiries are handled directly by the inventor.</w:t>
      </w:r>
    </w:p>
    <w:p>
      <w:pPr>
        <w:spacing w:after="120" w:before="0"/>
      </w:pPr>
      <w:r>
        <w:t xml:space="preserve"/>
      </w:r>
    </w:p>
    <w:p>
      <w:pPr>
        <w:spacing w:after="80" w:before="0"/>
      </w:pPr>
      <w:r>
        <w:rPr>
          <w:rFonts w:ascii="Arial" w:cs="Arial" w:eastAsia="Arial" w:hAnsi="Arial"/>
          <w:b/>
          <w:bCs/>
          <w:color w:val="1B2A4A"/>
          <w:sz w:val="22"/>
          <w:szCs w:val="22"/>
        </w:rPr>
        <w:t xml:space="preserve">Robert Tandler</w:t>
      </w:r>
    </w:p>
    <w:p>
      <w:pPr>
        <w:spacing w:after="80" w:before="0"/>
      </w:pPr>
      <w:r>
        <w:rPr>
          <w:rFonts w:ascii="Arial" w:cs="Arial" w:eastAsia="Arial" w:hAnsi="Arial"/>
          <w:color w:val="1A1A1A"/>
          <w:sz w:val="22"/>
          <w:szCs w:val="22"/>
        </w:rPr>
        <w:t xml:space="preserve">Divergence IP LLC</w:t>
      </w:r>
    </w:p>
    <w:p>
      <w:pPr>
        <w:spacing w:after="80" w:before="0"/>
      </w:pPr>
      <w:r>
        <w:rPr>
          <w:rFonts w:ascii="Arial" w:cs="Arial" w:eastAsia="Arial" w:hAnsi="Arial"/>
          <w:color w:val="2E75B6"/>
          <w:sz w:val="22"/>
          <w:szCs w:val="22"/>
        </w:rPr>
        <w:t xml:space="preserve">robert@divergenceip.com</w:t>
      </w:r>
    </w:p>
    <w:p>
      <w:pPr>
        <w:spacing w:after="480" w:before="0"/>
      </w:pPr>
      <w:r>
        <w:rPr>
          <w:rFonts w:ascii="Arial" w:cs="Arial" w:eastAsia="Arial" w:hAnsi="Arial"/>
          <w:color w:val="2E75B6"/>
          <w:sz w:val="22"/>
          <w:szCs w:val="22"/>
        </w:rPr>
        <w:t xml:space="preserve">divergenceip.com</w:t>
      </w:r>
    </w:p>
    <w:p>
      <w:pPr>
        <w:pBdr>
          <w:bottom w:val="single" w:color="1B2A4A" w:sz="8" w:space="1"/>
        </w:pBdr>
        <w:spacing w:after="160" w:before="0"/>
      </w:pPr>
      <w:r>
        <w:t xml:space="preserve"/>
      </w:r>
    </w:p>
    <w:p>
      <w:pPr>
        <w:spacing w:after="0" w:before="160"/>
      </w:pPr>
      <w:r>
        <w:rPr>
          <w:rFonts w:ascii="Arial" w:cs="Arial" w:eastAsia="Arial" w:hAnsi="Arial"/>
          <w:i/>
          <w:iCs/>
          <w:color w:val="666666"/>
          <w:sz w:val="18"/>
          <w:szCs w:val="18"/>
        </w:rPr>
        <w:t xml:space="preserve">This document is confidential and intended solely for the authorized recipient. It contains proprietary information and patent-pending technology belonging to Divergence IP LLC. Unauthorized disclosure, reproduction, or use is prohibited.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2F0" w:sz="4" w:space="1"/>
      </w:pBdr>
      <w:spacing w:after="0" w:before="120"/>
    </w:pPr>
    <w:r>
      <w:rPr>
        <w:rFonts w:ascii="Arial" w:cs="Arial" w:eastAsia="Arial" w:hAnsi="Arial"/>
        <w:color w:val="666666"/>
        <w:sz w:val="16"/>
        <w:szCs w:val="16"/>
      </w:rPr>
      <w:t xml:space="preserve">Divergence IP LLC  ·  divergenceip.com  ·  robert@divergenceip.com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2F0" w:sz="4" w:space="1"/>
      </w:pBdr>
      <w:spacing w:after="120" w:before="0"/>
    </w:pPr>
    <w:r>
      <w:rPr>
        <w:rFonts w:ascii="Arial" w:cs="Arial" w:eastAsia="Arial" w:hAnsi="Arial"/>
        <w:i/>
        <w:iCs/>
        <w:color w:val="666666"/>
        <w:sz w:val="16"/>
        <w:szCs w:val="16"/>
      </w:rPr>
      <w:t xml:space="preserve">CONFIDENTIAL — FOR AUTHORIZED RECIPIENT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2026-06-18T16:18:15.964Z</dcterms:created>
  <dcterms:modified xsi:type="dcterms:W3CDTF">2026-06-18T16:18:15.964Z</dcterms:modified>
</cp:coreProperties>
</file>

<file path=docProps/custom.xml><?xml version="1.0" encoding="utf-8"?>
<Properties xmlns="http://schemas.openxmlformats.org/officeDocument/2006/custom-properties" xmlns:vt="http://schemas.openxmlformats.org/officeDocument/2006/docPropsVTypes"/>
</file>