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   Annotation Guideline for Community Terminology Metadata</w:t>
      </w:r>
      <w:r w:rsidDel="00000000" w:rsidR="00000000" w:rsidRPr="00000000">
        <w:rPr>
          <w:rtl w:val="0"/>
        </w:rPr>
      </w:r>
    </w:p>
    <w:tbl>
      <w:tblPr>
        <w:tblStyle w:val="Table1"/>
        <w:tblW w:w="10656.0" w:type="dxa"/>
        <w:jc w:val="center"/>
        <w:tblLayout w:type="fixed"/>
        <w:tblLook w:val="0400"/>
      </w:tblPr>
      <w:tblGrid>
        <w:gridCol w:w="10656"/>
        <w:tblGridChange w:id="0">
          <w:tblGrid>
            <w:gridCol w:w="106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8c8c" w:space="0" w:sz="10" w:val="single"/>
              <w:left w:color="8c8c8c" w:space="0" w:sz="10" w:val="single"/>
              <w:bottom w:color="8c8c8c" w:space="0" w:sz="10" w:val="single"/>
              <w:right w:color="8c8c8c" w:space="0" w:sz="10" w:val="single"/>
            </w:tcBorders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Assumption: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20" w:line="228" w:lineRule="auto"/>
              <w:ind w:left="475" w:hanging="144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Annotators are fluent, college-educated readers but are not assumed to know the target gaming or cybersecurity community. Example: a general reader may know “ticket” but not the security sense of “golden ticket.”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20" w:line="228" w:lineRule="auto"/>
              <w:ind w:left="475" w:hanging="144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• Annotate the expression in its cited context, not from the surface form alone. Example: record “stat stick” as used in Warframe, not as an ordinary stick with statistics.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20" w:before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TL;DR: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22" w:line="228" w:lineRule="auto"/>
              <w:ind w:left="144" w:hanging="144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❖ </w:t>
            </w:r>
            <w:r w:rsidDel="00000000" w:rsidR="00000000" w:rsidRPr="00000000">
              <w:rPr>
                <w:b w:val="1"/>
                <w:bCs w:val="1"/>
                <w:color w:val="c00000"/>
                <w:sz w:val="16"/>
                <w:szCs w:val="16"/>
                <w:rtl w:val="0"/>
              </w:rPr>
              <w:t xml:space="preserve">[Domain]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Choose Cybersecurity or Gaming from the source community.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16"/>
                <w:szCs w:val="16"/>
                <w:rtl w:val="0"/>
              </w:rPr>
              <w:t xml:space="preserve"> Example: “Pass the hash” → Cybersecurity.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22" w:line="228" w:lineRule="auto"/>
              <w:ind w:left="144" w:hanging="144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❖ </w:t>
            </w:r>
            <w:r w:rsidDel="00000000" w:rsidR="00000000" w:rsidRPr="00000000">
              <w:rPr>
                <w:b w:val="1"/>
                <w:bCs w:val="1"/>
                <w:color w:val="c00000"/>
                <w:sz w:val="16"/>
                <w:szCs w:val="16"/>
                <w:rtl w:val="0"/>
              </w:rPr>
              <w:t xml:space="preserve">[Term]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Copy the smallest complete community-specific expression exactly.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 Example: Keep “pass the hash,” not only “hash.”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22" w:line="228" w:lineRule="auto"/>
              <w:ind w:left="144" w:hanging="144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❖ </w:t>
            </w:r>
            <w:r w:rsidDel="00000000" w:rsidR="00000000" w:rsidRPr="00000000">
              <w:rPr>
                <w:b w:val="1"/>
                <w:bCs w:val="1"/>
                <w:color w:val="c00000"/>
                <w:sz w:val="16"/>
                <w:szCs w:val="16"/>
                <w:rtl w:val="0"/>
              </w:rPr>
              <w:t xml:space="preserve">[Linguistic construction]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Assign one primary surface-formation label from Table 1.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16"/>
                <w:szCs w:val="16"/>
                <w:rtl w:val="0"/>
              </w:rPr>
              <w:t xml:space="preserve"> Example: “golden ticket” → Metaphor.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22" w:line="228" w:lineRule="auto"/>
              <w:ind w:left="144" w:hanging="144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❖ </w:t>
            </w:r>
            <w:r w:rsidDel="00000000" w:rsidR="00000000" w:rsidRPr="00000000">
              <w:rPr>
                <w:b w:val="1"/>
                <w:bCs w:val="1"/>
                <w:color w:val="c00000"/>
                <w:sz w:val="16"/>
                <w:szCs w:val="16"/>
                <w:rtl w:val="0"/>
              </w:rPr>
              <w:t xml:space="preserve">[Community / sub-community]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Record broad community first, then the narrow context.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 Example: Red Team / Windows Credential Abuse.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2" w:line="228" w:lineRule="auto"/>
              <w:ind w:left="144" w:hanging="144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❖ </w:t>
            </w:r>
            <w:r w:rsidDel="00000000" w:rsidR="00000000" w:rsidRPr="00000000">
              <w:rPr>
                <w:b w:val="1"/>
                <w:bCs w:val="1"/>
                <w:color w:val="c00000"/>
                <w:sz w:val="16"/>
                <w:szCs w:val="16"/>
                <w:rtl w:val="0"/>
              </w:rPr>
              <w:t xml:space="preserve">[Real usage example]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Copy a natural sentence that uses the expression without directly defining it.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 Example: “Every time I hold an angle I always get one tapped...”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22" w:line="228" w:lineRule="auto"/>
              <w:ind w:left="144" w:hanging="144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❖ </w:t>
            </w:r>
            <w:r w:rsidDel="00000000" w:rsidR="00000000" w:rsidRPr="00000000">
              <w:rPr>
                <w:b w:val="1"/>
                <w:bCs w:val="1"/>
                <w:color w:val="c00000"/>
                <w:sz w:val="16"/>
                <w:szCs w:val="16"/>
                <w:rtl w:val="0"/>
              </w:rPr>
              <w:t xml:space="preserve">[Source link]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Save the direct page or thread URL containing the quoted sentence.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 Example: A Reddit thread URL, not a Google results page.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22" w:line="228" w:lineRule="auto"/>
              <w:ind w:left="144" w:hanging="144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❖ </w:t>
            </w:r>
            <w:r w:rsidDel="00000000" w:rsidR="00000000" w:rsidRPr="00000000">
              <w:rPr>
                <w:b w:val="1"/>
                <w:bCs w:val="1"/>
                <w:color w:val="c00000"/>
                <w:sz w:val="16"/>
                <w:szCs w:val="16"/>
                <w:rtl w:val="0"/>
              </w:rPr>
              <w:t xml:space="preserve">[Verification record]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Save the Google query, displayed result-count text, retrieval date, translation check, Gemini check, and keep/exclude decision.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 Example: Query “nlp”; display “About 66,900,000 results (0.29s)”; date YYYY-MM-DD.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Steps for Finding and Verifying Terms: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28" w:line="228" w:lineRule="auto"/>
              <w:ind w:left="144" w:hanging="144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1. Collect source communities: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Create a source list of forums, subreddits, Steam discussions, wikis, Discord archives, documentation, and specialist boards. Record platform, community, URL, and access date.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 Example: Steam Community for a game mechanic; r/AskNetsec for Windows credential abuse.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28" w:line="228" w:lineRule="auto"/>
              <w:ind w:left="144" w:hanging="144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2. Read and spot candidates: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Read threads rather than keyword lists. Mark expressions that are opaque, shifted, abbreviated, coded, or conventionalized within the community. Save the full sentence immediately.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 Example: Mark “stat stick” in a Warframe discussion; do not separately collect the generic word “weapon.”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28" w:line="228" w:lineRule="auto"/>
              <w:ind w:left="144" w:hanging="144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3. Verify with Google Search: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Search the quoted expression with its community. Record the exact query, the tools-bar result-count display, retrieval date, and whether relevant community evidence appears.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 Example: Query: “stat stick” Warframe. Count format example: “About 66,900,000 results (0.29s).” Counts are approximate and may change.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8" w:line="228" w:lineRule="auto"/>
              <w:ind w:left="144" w:hanging="144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4. Check translation when relevant: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For non-English, borrowed, or code-mixed items, record source language, target language, and Google Translate output verbatim. Translation is a diagnostic check, not final evidence.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 Example: For “kaizo ironmon,” record whether translation preserves the community expression or produces an unhelpful literal rendering.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28" w:line="228" w:lineRule="auto"/>
              <w:ind w:left="144" w:hanging="144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5. Check Gemini interpretation: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Provide the exact term, usage sentence, and community; save the prompt, model/date, and response verbatim. Use the response to identify ambiguity or likely model failure, not as the gold source.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 Example: Ask: “In this Warframe sentence, what does stat stick mean? Explain only from the provided context and state uncertainty.”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28" w:line="228" w:lineRule="auto"/>
              <w:ind w:left="144" w:hanging="144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6. Keep or exclude: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Keep only expressions supported by authentic community use and a stable context-specific sense. Record a short decision reason.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 Example: Keep “OOB” in speedrunning; exclude “game” because it is general and has no specialized shifted sense.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2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How Each Metadata Field Is Annotated: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22" w:line="228" w:lineRule="auto"/>
              <w:ind w:left="144" w:hanging="144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❖ </w:t>
            </w:r>
            <w:r w:rsidDel="00000000" w:rsidR="00000000" w:rsidRPr="00000000">
              <w:rPr>
                <w:b w:val="1"/>
                <w:bCs w:val="1"/>
                <w:color w:val="c00000"/>
                <w:sz w:val="16"/>
                <w:szCs w:val="16"/>
                <w:rtl w:val="0"/>
              </w:rPr>
              <w:t xml:space="preserve">[Term]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Select the narrowest complete span; preserve capitalization, punctuation, numerals, and spelling.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 Example: ret2libc, Any%, LoLBins.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22" w:line="228" w:lineRule="auto"/>
              <w:ind w:left="144" w:hanging="144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❖ </w:t>
            </w:r>
            <w:r w:rsidDel="00000000" w:rsidR="00000000" w:rsidRPr="00000000">
              <w:rPr>
                <w:b w:val="1"/>
                <w:bCs w:val="1"/>
                <w:color w:val="c00000"/>
                <w:sz w:val="16"/>
                <w:szCs w:val="16"/>
                <w:rtl w:val="0"/>
              </w:rPr>
              <w:t xml:space="preserve">[Linguistic construction]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Choose the label that best explains the recorded form. If two labels are equally plausible, select one and flag the row for review.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16"/>
                <w:szCs w:val="16"/>
                <w:rtl w:val="0"/>
              </w:rPr>
              <w:t xml:space="preserve"> Example: Fashionframe → Blending, not simply Compound.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22" w:line="228" w:lineRule="auto"/>
              <w:ind w:left="144" w:hanging="144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❖ </w:t>
            </w:r>
            <w:r w:rsidDel="00000000" w:rsidR="00000000" w:rsidRPr="00000000">
              <w:rPr>
                <w:b w:val="1"/>
                <w:bCs w:val="1"/>
                <w:color w:val="c00000"/>
                <w:sz w:val="16"/>
                <w:szCs w:val="16"/>
                <w:rtl w:val="0"/>
              </w:rPr>
              <w:t xml:space="preserve">[Community / sub-community]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Infer from the source and thread topic, then standardize as “Broad community / specific context.”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 Example: Gaming / Warframe Build Optimization.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22" w:line="228" w:lineRule="auto"/>
              <w:ind w:left="144" w:hanging="144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❖ </w:t>
            </w:r>
            <w:r w:rsidDel="00000000" w:rsidR="00000000" w:rsidRPr="00000000">
              <w:rPr>
                <w:b w:val="1"/>
                <w:bCs w:val="1"/>
                <w:color w:val="c00000"/>
                <w:sz w:val="16"/>
                <w:szCs w:val="16"/>
                <w:rtl w:val="0"/>
              </w:rPr>
              <w:t xml:space="preserve">[Real usage example]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Use one complete, natural sentence with enough local context. Keep original wording and mark omissions with ellipses.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 Example: Prefer “Can MitM attack be avoided...?” over “MITM means man-in-the-middle.”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22" w:line="228" w:lineRule="auto"/>
              <w:ind w:left="144" w:hanging="144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❖ </w:t>
            </w:r>
            <w:r w:rsidDel="00000000" w:rsidR="00000000" w:rsidRPr="00000000">
              <w:rPr>
                <w:b w:val="1"/>
                <w:bCs w:val="1"/>
                <w:color w:val="c00000"/>
                <w:sz w:val="16"/>
                <w:szCs w:val="16"/>
                <w:rtl w:val="0"/>
              </w:rPr>
              <w:t xml:space="preserve">[Source link]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Open and confirm the quote. Record the direct stable URL and access date.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 Example: Direct thread URL; avoid screenshots without a retrievable page.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22" w:line="228" w:lineRule="auto"/>
              <w:ind w:left="144" w:hanging="144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❖ </w:t>
            </w:r>
            <w:r w:rsidDel="00000000" w:rsidR="00000000" w:rsidRPr="00000000">
              <w:rPr>
                <w:b w:val="1"/>
                <w:bCs w:val="1"/>
                <w:color w:val="c00000"/>
                <w:sz w:val="16"/>
                <w:szCs w:val="16"/>
                <w:rtl w:val="0"/>
              </w:rPr>
              <w:t xml:space="preserve">[Google evidence]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Copy the exact query and displayed result-count text; note whether top results are context-relevant.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 Example: A large count for “nlp” shows broad retrieval, but does not prove community specificity.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22" w:line="228" w:lineRule="auto"/>
              <w:ind w:left="144" w:hanging="144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❖ </w:t>
            </w:r>
            <w:r w:rsidDel="00000000" w:rsidR="00000000" w:rsidRPr="00000000">
              <w:rPr>
                <w:b w:val="1"/>
                <w:bCs w:val="1"/>
                <w:color w:val="c00000"/>
                <w:sz w:val="16"/>
                <w:szCs w:val="16"/>
                <w:rtl w:val="0"/>
              </w:rPr>
              <w:t xml:space="preserve">[Translation / Gemini evidence]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Store outputs verbatim in separate fields and label the tool, language/model, and date.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 Example: Do not rewrite a weak answer into a correct answer.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22" w:line="228" w:lineRule="auto"/>
              <w:ind w:left="144" w:hanging="144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❖ </w:t>
            </w:r>
            <w:r w:rsidDel="00000000" w:rsidR="00000000" w:rsidRPr="00000000">
              <w:rPr>
                <w:b w:val="1"/>
                <w:bCs w:val="1"/>
                <w:color w:val="c00000"/>
                <w:sz w:val="16"/>
                <w:szCs w:val="16"/>
                <w:rtl w:val="0"/>
              </w:rPr>
              <w:t xml:space="preserve">[Decision]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Assign Keep, Exclude, or Review and provide one observable reason.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 Example: Review when the term appears only once or communities use conflicting senses.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2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General Principles: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20" w:line="228" w:lineRule="auto"/>
              <w:ind w:left="245" w:hanging="144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▪ Community evidence outranks surface intuition. Example: “blueberries” in Destiny should be judged from Destiny usage, not the fruit sense.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20" w:line="228" w:lineRule="auto"/>
              <w:ind w:left="245" w:hanging="144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▪ Result counts are retrieval metadata, not a popularity score. They vary by time, location, personalization, spelling, and query formulation.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20" w:line="228" w:lineRule="auto"/>
              <w:ind w:left="245" w:hanging="144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▪ Google Translate and Gemini are verification tools, not authoritative sources. Preserve their outputs so future analysis can measure errors.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20" w:line="228" w:lineRule="auto"/>
              <w:ind w:left="245" w:hanging="144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▪ Novelty alone is insufficient. Keep a term because it has a stable community-specific sense, not merely because it is rare or unfamiliar.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2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Keep in mind: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0512.0" w:type="dxa"/>
              <w:jc w:val="center"/>
              <w:tblLayout w:type="fixed"/>
              <w:tblLook w:val="0400"/>
            </w:tblPr>
            <w:tblGrid>
              <w:gridCol w:w="5256"/>
              <w:gridCol w:w="5256"/>
              <w:tblGridChange w:id="0">
                <w:tblGrid>
                  <w:gridCol w:w="5256"/>
                  <w:gridCol w:w="525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b7b7b7" w:space="0" w:sz="4" w:val="single"/>
                    <w:left w:color="b7b7b7" w:space="0" w:sz="4" w:val="single"/>
                    <w:bottom w:color="b7b7b7" w:space="0" w:sz="4" w:val="single"/>
                    <w:right w:color="b7b7b7" w:space="0" w:sz="4" w:val="single"/>
                  </w:tcBorders>
                  <w:shd w:fill="eaf2f8" w:val="clear"/>
                  <w:tcMar>
                    <w:top w:w="55.0" w:type="dxa"/>
                    <w:bottom w:w="55.0" w:type="dxa"/>
                  </w:tcMar>
                </w:tcPr>
                <w:p w:rsidR="00000000" w:rsidDel="00000000" w:rsidP="00000000" w:rsidRDefault="00000000" w:rsidRPr="00000000" w14:paraId="00000024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Keep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5">
                  <w:pPr>
                    <w:spacing w:after="20" w:line="228" w:lineRule="auto"/>
                    <w:ind w:left="245" w:hanging="144"/>
                    <w:rPr/>
                  </w:pPr>
                  <w:r w:rsidDel="00000000" w:rsidR="00000000" w:rsidRPr="00000000">
                    <w:rPr>
                      <w:sz w:val="15"/>
                      <w:szCs w:val="15"/>
                      <w:rtl w:val="0"/>
                    </w:rPr>
                    <w:t xml:space="preserve">▪ Authentic, community-grounded expressions (e.g., “pass the hash”).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6">
                  <w:pPr>
                    <w:spacing w:after="20" w:line="228" w:lineRule="auto"/>
                    <w:ind w:left="245" w:hanging="144"/>
                    <w:rPr/>
                  </w:pPr>
                  <w:r w:rsidDel="00000000" w:rsidR="00000000" w:rsidRPr="00000000">
                    <w:rPr>
                      <w:sz w:val="15"/>
                      <w:szCs w:val="15"/>
                      <w:rtl w:val="0"/>
                    </w:rPr>
                    <w:t xml:space="preserve">▪ Natural usage requiring interpretation (e.g., “one tapped”).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7">
                  <w:pPr>
                    <w:spacing w:after="20" w:line="228" w:lineRule="auto"/>
                    <w:ind w:left="245" w:hanging="144"/>
                    <w:rPr/>
                  </w:pPr>
                  <w:r w:rsidDel="00000000" w:rsidR="00000000" w:rsidRPr="00000000">
                    <w:rPr>
                      <w:sz w:val="15"/>
                      <w:szCs w:val="15"/>
                      <w:rtl w:val="0"/>
                    </w:rPr>
                    <w:t xml:space="preserve">▪ Direct source URLs and verbatim tool outputs.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8">
                  <w:pPr>
                    <w:spacing w:after="20" w:line="228" w:lineRule="auto"/>
                    <w:ind w:left="245" w:hanging="144"/>
                    <w:rPr/>
                  </w:pPr>
                  <w:r w:rsidDel="00000000" w:rsidR="00000000" w:rsidRPr="00000000">
                    <w:rPr>
                      <w:sz w:val="15"/>
                      <w:szCs w:val="15"/>
                      <w:rtl w:val="0"/>
                    </w:rPr>
                    <w:t xml:space="preserve">▪ A documented reason for every Keep/Exclude/Review decision.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7b7b7" w:space="0" w:sz="4" w:val="single"/>
                    <w:left w:color="b7b7b7" w:space="0" w:sz="4" w:val="single"/>
                    <w:bottom w:color="b7b7b7" w:space="0" w:sz="4" w:val="single"/>
                    <w:right w:color="b7b7b7" w:space="0" w:sz="4" w:val="single"/>
                  </w:tcBorders>
                  <w:shd w:fill="fce4d6" w:val="clear"/>
                  <w:tcMar>
                    <w:top w:w="55.0" w:type="dxa"/>
                    <w:bottom w:w="55.0" w:type="dxa"/>
                  </w:tcMar>
                </w:tcPr>
                <w:p w:rsidR="00000000" w:rsidDel="00000000" w:rsidP="00000000" w:rsidRDefault="00000000" w:rsidRPr="00000000" w14:paraId="00000029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Avoid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A">
                  <w:pPr>
                    <w:spacing w:after="20" w:line="228" w:lineRule="auto"/>
                    <w:ind w:left="245" w:hanging="144"/>
                    <w:rPr/>
                  </w:pPr>
                  <w:r w:rsidDel="00000000" w:rsidR="00000000" w:rsidRPr="00000000">
                    <w:rPr>
                      <w:sz w:val="15"/>
                      <w:szCs w:val="15"/>
                      <w:rtl w:val="0"/>
                    </w:rPr>
                    <w:t xml:space="preserve">▪ General words with no shifted sense (e.g., “weapon”).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B">
                  <w:pPr>
                    <w:spacing w:after="20" w:line="228" w:lineRule="auto"/>
                    <w:ind w:left="245" w:hanging="144"/>
                    <w:rPr/>
                  </w:pPr>
                  <w:r w:rsidDel="00000000" w:rsidR="00000000" w:rsidRPr="00000000">
                    <w:rPr>
                      <w:sz w:val="15"/>
                      <w:szCs w:val="15"/>
                      <w:rtl w:val="0"/>
                    </w:rPr>
                    <w:t xml:space="preserve">▪ Sentences that directly define the term.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C">
                  <w:pPr>
                    <w:spacing w:after="20" w:line="228" w:lineRule="auto"/>
                    <w:ind w:left="245" w:hanging="144"/>
                    <w:rPr/>
                  </w:pPr>
                  <w:r w:rsidDel="00000000" w:rsidR="00000000" w:rsidRPr="00000000">
                    <w:rPr>
                      <w:sz w:val="15"/>
                      <w:szCs w:val="15"/>
                      <w:rtl w:val="0"/>
                    </w:rPr>
                    <w:t xml:space="preserve">▪ AI-generated or paraphrased quotations.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D">
                  <w:pPr>
                    <w:spacing w:after="20" w:line="228" w:lineRule="auto"/>
                    <w:ind w:left="245" w:hanging="144"/>
                    <w:rPr/>
                  </w:pPr>
                  <w:r w:rsidDel="00000000" w:rsidR="00000000" w:rsidRPr="00000000">
                    <w:rPr>
                      <w:sz w:val="15"/>
                      <w:szCs w:val="15"/>
                      <w:rtl w:val="0"/>
                    </w:rPr>
                    <w:t xml:space="preserve">▪ Treating Google result counts as stable prevalence estimates.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Linguistic Construction Categories</w:t>
      </w:r>
      <w:r w:rsidDel="00000000" w:rsidR="00000000" w:rsidRPr="00000000">
        <w:rPr>
          <w:rtl w:val="0"/>
        </w:rPr>
      </w:r>
    </w:p>
    <w:tbl>
      <w:tblPr>
        <w:tblStyle w:val="Table3"/>
        <w:tblW w:w="10656.0" w:type="dxa"/>
        <w:jc w:val="center"/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e7e6e6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e7e6e6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How to identify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e7e6e6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e7e6e6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Real usage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16" w:lineRule="auto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Abbreviation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Compressed written form using letters, numerals, or symbols rather than a full phrase.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16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ret2libc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“Even if the NX bit is not set it’s probably easier to use ret2libc in these cases.”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16" w:lineRule="auto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Acronym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Initial letters pronounced or used as a single lexical item.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16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TOCTOU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“Not all uses of access(2) lead to TOCTOU vulnerabilities.”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16" w:lineRule="auto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Affixation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 base form gains a prefix or suffix that creates the community term.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16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twinking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“Back in my day, twinking had communities for each bracket.”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16" w:lineRule="auto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Blending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Parts of two or more words are fused into one form.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216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Fashionframe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“Do you ever see someone else’s Warframe and say ‘that’s awesome’?... You’d love Fashionframe.”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="216" w:lineRule="auto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Borrowing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 form is imported from another language or established cultural register.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16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kaizo ironmon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“One of the streamers I watch... did a Pokémon challenge run... called ‘kaizo ironmon’.”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16" w:lineRule="auto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Clipping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 longer word or phrase is shortened while retaining its community meaning.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16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uptime strat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“M10S Flame Floater Uptime strat.”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16" w:lineRule="auto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Code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An ordinary-looking expression conventionally masks or indirectly names a specialized practice.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16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evil maid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“I’ve done what I know to protect my work laptop from an evil maid attack.”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16" w:lineRule="auto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Community-specific Jargon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 conventional community label not adequately captured by another formation process.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16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Any%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“...pretty much any game with an ACE credits warp usually has Any% be less popular.”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16" w:lineRule="auto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Compound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Two or more complete lexical units combine into one specialized term.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16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MFA fatigue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“MFA fatigue attacks are getting out of control—time to rethink our authentication strategy?”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16" w:lineRule="auto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Functional Shift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An existing form changes grammatical function in community use.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16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one tapped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“Every time I hold an angle I always get one tapped...”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16" w:lineRule="auto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Initialism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Initial letters are normally read letter by letter.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16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MITM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“Can MitM attack be avoided without using a 3rd party?”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16" w:lineRule="auto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Meme Expression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 phrase is conventionalized through recurring online humor or meme circulation.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16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boomer shooter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“Had they made it a total ‘boomer shooter’ I doubt it would have sold as well.”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16" w:lineRule="auto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Metaphor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 familiar expression is transferred figuratively to a specialized community concept.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16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golden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“...if you suspect possible golden ticket exploit, if you clear all Active sessions...”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16" w:lineRule="auto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Multiword Expression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 fixed phrase functions as one conventionalized community unit.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16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wall-to-wall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9f9f9" w:val="clear"/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“Is it possible to heal a wall to wall pull in Stone Vigil...?”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16" w:lineRule="auto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Semantic Shift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An existing word keeps its form but acquires a distinct community-specific sense.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16" w:lineRule="auto"/>
              <w:rPr/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blueberries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8.0" w:type="dxa"/>
              <w:bottom w:w="38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1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“We got the blueberries their first Vow clear—and their first-ever raid clear.”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0" w:before="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Table 1: Linguistic construction labels used in the dataset. Examples reproduce authentic usage context; they are not gold definitions.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605" w:top="605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95959"/>
        <w:sz w:val="15"/>
        <w:szCs w:val="15"/>
        <w:u w:val="none"/>
        <w:shd w:fill="auto" w:val="clear"/>
        <w:vertAlign w:val="baseline"/>
        <w:rtl w:val="0"/>
      </w:rPr>
      <w:t xml:space="preserve">Community Terminology Annotation Guideline • Research Draft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"/>
        <w:szCs w:val="16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