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D25A63" w14:textId="4A372CA7" w:rsidR="0071718E" w:rsidRPr="00AF2035" w:rsidRDefault="00BF56E9" w:rsidP="00AF2035">
      <w:pPr>
        <w:pStyle w:val="Heading1"/>
        <w:jc w:val="center"/>
      </w:pPr>
      <w:r>
        <w:t>Module 9 Discussion</w:t>
      </w:r>
    </w:p>
    <w:p w14:paraId="17FA77F0" w14:textId="77777777" w:rsidR="00C56E9C" w:rsidRDefault="00C56E9C" w:rsidP="00C56E9C">
      <w:pPr>
        <w:pStyle w:val="Heading3"/>
        <w:spacing w:before="0" w:after="0"/>
        <w:jc w:val="center"/>
        <w:rPr>
          <w:rFonts w:ascii="Open Sans" w:hAnsi="Open Sans" w:cs="Open Sans"/>
          <w:color w:val="262626"/>
          <w:sz w:val="48"/>
          <w:szCs w:val="48"/>
        </w:rPr>
      </w:pPr>
      <w:r>
        <w:rPr>
          <w:rFonts w:ascii="Open Sans" w:hAnsi="Open Sans" w:cs="Open Sans"/>
          <w:color w:val="262626"/>
          <w:sz w:val="48"/>
          <w:szCs w:val="48"/>
        </w:rPr>
        <w:t>Internal Technology Conference</w:t>
      </w:r>
    </w:p>
    <w:p w14:paraId="7ED7F877" w14:textId="77777777" w:rsidR="00C56E9C" w:rsidRDefault="00C56E9C" w:rsidP="00C56E9C">
      <w:pPr>
        <w:pStyle w:val="NormalWeb"/>
        <w:spacing w:before="0" w:beforeAutospacing="0" w:after="0" w:afterAutospacing="0"/>
        <w:jc w:val="center"/>
        <w:rPr>
          <w:rFonts w:ascii="inherit" w:hAnsi="inherit"/>
        </w:rPr>
      </w:pPr>
    </w:p>
    <w:p w14:paraId="3E63FBF8" w14:textId="77777777" w:rsidR="00C56E9C" w:rsidRDefault="00C56E9C" w:rsidP="00C56E9C">
      <w:pPr>
        <w:pStyle w:val="NormalWeb"/>
        <w:spacing w:before="0" w:beforeAutospacing="0" w:after="0" w:afterAutospacing="0"/>
        <w:rPr>
          <w:rFonts w:ascii="inherit" w:hAnsi="inherit"/>
        </w:rPr>
      </w:pPr>
      <w:r>
        <w:rPr>
          <w:rStyle w:val="Strong"/>
          <w:rFonts w:ascii="inherit" w:hAnsi="inherit"/>
          <w:color w:val="0F4761"/>
        </w:rPr>
        <w:t>What is an Internal Technology Conference?</w:t>
      </w:r>
    </w:p>
    <w:p w14:paraId="1CC633FC" w14:textId="77777777" w:rsidR="00C56E9C" w:rsidRDefault="00C56E9C" w:rsidP="00C56E9C">
      <w:pPr>
        <w:pStyle w:val="NormalWeb"/>
        <w:spacing w:before="0" w:beforeAutospacing="0" w:after="0" w:afterAutospacing="0"/>
        <w:jc w:val="both"/>
        <w:rPr>
          <w:rFonts w:ascii="inherit" w:hAnsi="inherit"/>
        </w:rPr>
      </w:pPr>
      <w:r>
        <w:rPr>
          <w:rFonts w:ascii="inherit" w:hAnsi="inherit"/>
        </w:rPr>
        <w:t>An Internal Technology conference is a company-run event, typically a full day, where employees present, teach, and learn from each other rather than attending an external conference. At these conferences, not only do the teams internally learn from each other about their own fields, but also about how other parts of the company work.</w:t>
      </w:r>
    </w:p>
    <w:p w14:paraId="7AC50AAF" w14:textId="77777777" w:rsidR="00C56E9C" w:rsidRDefault="00C56E9C" w:rsidP="00C56E9C">
      <w:pPr>
        <w:pStyle w:val="NormalWeb"/>
        <w:spacing w:before="0" w:beforeAutospacing="0" w:after="0" w:afterAutospacing="0"/>
        <w:jc w:val="both"/>
        <w:rPr>
          <w:rFonts w:ascii="inherit" w:hAnsi="inherit"/>
        </w:rPr>
      </w:pPr>
      <w:r>
        <w:rPr>
          <w:rFonts w:ascii="inherit" w:hAnsi="inherit"/>
        </w:rPr>
        <w:t xml:space="preserve">The reason I picked this topic is that I work for Target Distribution, and since taking this course and Secure Software Development last term, I’ve seen DevOps and CI/CD terminology in our trainings and meetings. For example, when we were talking about discontinuing the Mini Load system in the warehouse, they talked about how it affected the “Value Stream” of the warehouse and that it was no longer effective. Also, with last week’s assignment, we talked a lot about the “blameless culture,” and I see the </w:t>
      </w:r>
      <w:r>
        <w:rPr>
          <w:rStyle w:val="Emphasis"/>
          <w:rFonts w:ascii="inherit" w:hAnsi="inherit"/>
        </w:rPr>
        <w:t>attempt</w:t>
      </w:r>
      <w:r>
        <w:rPr>
          <w:rFonts w:ascii="inherit" w:hAnsi="inherit"/>
        </w:rPr>
        <w:t xml:space="preserve"> by corporate to put that in the company, as they call “postmortem” conversations “Seek to Understand” conversations, and use the method of the “Five Whys” to find root causes of incidents rather than place blame. However, the implementation of both ends is being “Seek to Understand who is at fault.” And “The Five Whys of how you got around the rules so that a new rule can be put in place so YOU can be blamed next time.”</w:t>
      </w:r>
    </w:p>
    <w:p w14:paraId="7437C7FE" w14:textId="77777777" w:rsidR="00C56E9C" w:rsidRDefault="00C56E9C" w:rsidP="00C56E9C">
      <w:pPr>
        <w:pStyle w:val="NormalWeb"/>
        <w:spacing w:before="0" w:beforeAutospacing="0" w:after="0" w:afterAutospacing="0"/>
        <w:jc w:val="both"/>
        <w:rPr>
          <w:rFonts w:ascii="inherit" w:hAnsi="inherit"/>
        </w:rPr>
      </w:pPr>
      <w:r>
        <w:rPr>
          <w:rFonts w:ascii="inherit" w:hAnsi="inherit"/>
        </w:rPr>
        <w:t>Upon digging into this (asking at work), some of this comes directly from these types of conferences. The DevOps team talks about the Value Stream and some other concepts that translate into other areas, and those other areas latch onto the “buzz words.”</w:t>
      </w:r>
    </w:p>
    <w:p w14:paraId="1B00552F" w14:textId="77777777" w:rsidR="00C56E9C" w:rsidRDefault="00C56E9C" w:rsidP="00C56E9C">
      <w:pPr>
        <w:pStyle w:val="NormalWeb"/>
        <w:spacing w:before="0" w:beforeAutospacing="0" w:after="0" w:afterAutospacing="0"/>
        <w:jc w:val="both"/>
        <w:rPr>
          <w:rFonts w:ascii="inherit" w:hAnsi="inherit"/>
        </w:rPr>
      </w:pPr>
    </w:p>
    <w:p w14:paraId="76D0B3ED" w14:textId="77777777" w:rsidR="00C56E9C" w:rsidRDefault="00C56E9C" w:rsidP="00C56E9C">
      <w:pPr>
        <w:pStyle w:val="NormalWeb"/>
        <w:spacing w:before="0" w:beforeAutospacing="0" w:after="0" w:afterAutospacing="0"/>
        <w:rPr>
          <w:rFonts w:ascii="inherit" w:hAnsi="inherit"/>
        </w:rPr>
      </w:pPr>
      <w:r>
        <w:rPr>
          <w:rStyle w:val="Strong"/>
          <w:rFonts w:ascii="inherit" w:hAnsi="inherit"/>
          <w:color w:val="0F4761"/>
        </w:rPr>
        <w:t>How Often Should These Be Held?</w:t>
      </w:r>
    </w:p>
    <w:p w14:paraId="3F9392B8" w14:textId="77777777" w:rsidR="00C56E9C" w:rsidRDefault="00C56E9C" w:rsidP="00C56E9C">
      <w:pPr>
        <w:pStyle w:val="NormalWeb"/>
        <w:spacing w:before="0" w:beforeAutospacing="0" w:after="0" w:afterAutospacing="0"/>
        <w:jc w:val="both"/>
        <w:rPr>
          <w:rFonts w:ascii="inherit" w:hAnsi="inherit"/>
        </w:rPr>
      </w:pPr>
      <w:r>
        <w:rPr>
          <w:rFonts w:ascii="inherit" w:hAnsi="inherit"/>
        </w:rPr>
        <w:t>The answer to this question is tough to answer because it really depends on the company. Company size, the type of company, and how devoted the company is to a learning culture. Unfortunately, there aren’t a lot of actual studies out there that can document how much is too much or too little, just what the benefits are. So, I’ll just put what some companies do instead. The Financial Times has an event roughly once a year. A London ticketing company did a full-day event annually, and now does two half-day events annually, saying it allows more people to attend. Paddy Power Betfair has an annual DevOps conference for the entire Tech sector of their company. Dynatrace looks to have full-day events twice a year. </w:t>
      </w:r>
    </w:p>
    <w:p w14:paraId="1B706DD8" w14:textId="77777777" w:rsidR="00C56E9C" w:rsidRDefault="00C56E9C" w:rsidP="00C56E9C">
      <w:pPr>
        <w:pStyle w:val="NormalWeb"/>
        <w:spacing w:before="0" w:beforeAutospacing="0" w:after="0" w:afterAutospacing="0"/>
        <w:jc w:val="both"/>
        <w:rPr>
          <w:rFonts w:ascii="inherit" w:hAnsi="inherit"/>
        </w:rPr>
      </w:pPr>
      <w:r>
        <w:rPr>
          <w:rFonts w:ascii="inherit" w:hAnsi="inherit"/>
        </w:rPr>
        <w:t>The moral of the story here is that companies have limited resources to spend on training, and training like this takes time away from production. In the fast-paced world that we live in today, it’s important to keep up with the times, but that is also typically more focused on one’s own field. I think that the best model would vary, but a full day annually works well, as does the half-day semi-annually. The half-day means that you can send different people and split the number of people who are gone at the same time, but also you lose the full day for people to be gone for a half-day conference (if it is off-site or people have to travel).</w:t>
      </w:r>
    </w:p>
    <w:p w14:paraId="4332B882" w14:textId="77777777" w:rsidR="00C56E9C" w:rsidRDefault="00C56E9C" w:rsidP="00C56E9C">
      <w:pPr>
        <w:pStyle w:val="NormalWeb"/>
        <w:spacing w:before="0" w:beforeAutospacing="0" w:after="0" w:afterAutospacing="0"/>
        <w:jc w:val="both"/>
        <w:rPr>
          <w:rFonts w:ascii="inherit" w:hAnsi="inherit"/>
        </w:rPr>
      </w:pPr>
    </w:p>
    <w:p w14:paraId="0BDD202E" w14:textId="77777777" w:rsidR="00C56E9C" w:rsidRDefault="00C56E9C" w:rsidP="00C56E9C">
      <w:pPr>
        <w:pStyle w:val="NormalWeb"/>
        <w:spacing w:before="0" w:beforeAutospacing="0" w:after="0" w:afterAutospacing="0"/>
        <w:rPr>
          <w:rFonts w:ascii="inherit" w:hAnsi="inherit"/>
        </w:rPr>
      </w:pPr>
      <w:r>
        <w:rPr>
          <w:rStyle w:val="Strong"/>
          <w:rFonts w:ascii="inherit" w:hAnsi="inherit"/>
          <w:color w:val="0F4761"/>
        </w:rPr>
        <w:t>Do Companies Have the Time and Resources for This?</w:t>
      </w:r>
    </w:p>
    <w:p w14:paraId="3D284D18" w14:textId="77777777" w:rsidR="00C56E9C" w:rsidRDefault="00C56E9C" w:rsidP="00C56E9C">
      <w:pPr>
        <w:pStyle w:val="NormalWeb"/>
        <w:spacing w:before="0" w:beforeAutospacing="0" w:after="0" w:afterAutospacing="0"/>
        <w:jc w:val="both"/>
        <w:rPr>
          <w:rFonts w:ascii="inherit" w:hAnsi="inherit"/>
        </w:rPr>
      </w:pPr>
      <w:r>
        <w:rPr>
          <w:rFonts w:ascii="inherit" w:hAnsi="inherit"/>
        </w:rPr>
        <w:lastRenderedPageBreak/>
        <w:t>Again, this is an interesting question, because the natural reaction is to say, of course they do! However, running an event takes staff, a convention center, and usually catering, careful planning, etc. That doesn’t even account for the time that the team spends away from their normal job duties! </w:t>
      </w:r>
      <w:proofErr w:type="gramStart"/>
      <w:r>
        <w:rPr>
          <w:rFonts w:ascii="inherit" w:hAnsi="inherit"/>
        </w:rPr>
        <w:t>That is to say, it’s</w:t>
      </w:r>
      <w:proofErr w:type="gramEnd"/>
      <w:r>
        <w:rPr>
          <w:rFonts w:ascii="inherit" w:hAnsi="inherit"/>
        </w:rPr>
        <w:t xml:space="preserve"> a lot more expensive than it may seem on the surface. Plus, since all the speakers are internal company people, they are typically spending their working hours </w:t>
      </w:r>
      <w:r>
        <w:rPr>
          <w:rStyle w:val="Emphasis"/>
          <w:rFonts w:ascii="inherit" w:hAnsi="inherit"/>
        </w:rPr>
        <w:t>preparing</w:t>
      </w:r>
      <w:r>
        <w:rPr>
          <w:rFonts w:ascii="inherit" w:hAnsi="inherit"/>
        </w:rPr>
        <w:t xml:space="preserve"> for the event, which means more time is spent away from their normal job duties.</w:t>
      </w:r>
    </w:p>
    <w:p w14:paraId="4E225707" w14:textId="77777777" w:rsidR="00C56E9C" w:rsidRDefault="00C56E9C" w:rsidP="00C56E9C">
      <w:pPr>
        <w:pStyle w:val="NormalWeb"/>
        <w:spacing w:before="0" w:beforeAutospacing="0" w:after="0" w:afterAutospacing="0"/>
        <w:jc w:val="both"/>
        <w:rPr>
          <w:rFonts w:ascii="inherit" w:hAnsi="inherit"/>
        </w:rPr>
      </w:pPr>
      <w:r>
        <w:rPr>
          <w:rFonts w:ascii="inherit" w:hAnsi="inherit"/>
        </w:rPr>
        <w:t>All of this isn’t to say companies can’t afford it; they certainly can. But there is a very real cost-benefit analysis to be had. That’s why, as I mentioned above, being more conservative about how many you hold can be advantageous. Holding a single, all-day event per year takes all the planning overhead and puts it on one event. Having two events doesn’t double the planning time, but it comes close. So again, this depends greatly on the cost-benefit analysis.</w:t>
      </w:r>
    </w:p>
    <w:p w14:paraId="1671820F" w14:textId="77777777" w:rsidR="00C56E9C" w:rsidRDefault="00C56E9C" w:rsidP="00C56E9C">
      <w:pPr>
        <w:pStyle w:val="NormalWeb"/>
        <w:spacing w:before="0" w:beforeAutospacing="0" w:after="0" w:afterAutospacing="0"/>
        <w:jc w:val="both"/>
        <w:rPr>
          <w:rFonts w:ascii="inherit" w:hAnsi="inherit"/>
        </w:rPr>
      </w:pPr>
    </w:p>
    <w:p w14:paraId="1B973D1D" w14:textId="77777777" w:rsidR="00C56E9C" w:rsidRDefault="00C56E9C" w:rsidP="00C56E9C">
      <w:pPr>
        <w:pStyle w:val="NormalWeb"/>
        <w:spacing w:before="0" w:beforeAutospacing="0" w:after="0" w:afterAutospacing="0"/>
        <w:rPr>
          <w:rFonts w:ascii="inherit" w:hAnsi="inherit"/>
        </w:rPr>
      </w:pPr>
      <w:r>
        <w:rPr>
          <w:rStyle w:val="Strong"/>
          <w:rFonts w:ascii="inherit" w:hAnsi="inherit"/>
          <w:color w:val="0F4761"/>
        </w:rPr>
        <w:t>Companies that Conduct Internal Tech Conferences</w:t>
      </w:r>
    </w:p>
    <w:p w14:paraId="141035D7" w14:textId="77777777" w:rsidR="00C56E9C" w:rsidRDefault="00C56E9C" w:rsidP="00C56E9C">
      <w:pPr>
        <w:pStyle w:val="NormalWeb"/>
        <w:spacing w:before="0" w:beforeAutospacing="0" w:after="0" w:afterAutospacing="0"/>
        <w:jc w:val="both"/>
        <w:rPr>
          <w:rFonts w:ascii="inherit" w:hAnsi="inherit"/>
        </w:rPr>
      </w:pPr>
      <w:proofErr w:type="spellStart"/>
      <w:r>
        <w:rPr>
          <w:rFonts w:ascii="inherit" w:hAnsi="inherit"/>
        </w:rPr>
        <w:t>InfoQ</w:t>
      </w:r>
      <w:proofErr w:type="spellEnd"/>
      <w:r>
        <w:rPr>
          <w:rFonts w:ascii="inherit" w:hAnsi="inherit"/>
        </w:rPr>
        <w:t xml:space="preserve"> had a list of 5 in their article: Financial Times, a London-based ticketing company, Paddy Power Betfair, ING (Dutch bank), </w:t>
      </w:r>
      <w:proofErr w:type="spellStart"/>
      <w:r>
        <w:rPr>
          <w:rFonts w:ascii="inherit" w:hAnsi="inherit"/>
        </w:rPr>
        <w:t>Callcredit</w:t>
      </w:r>
      <w:proofErr w:type="spellEnd"/>
      <w:r>
        <w:rPr>
          <w:rFonts w:ascii="inherit" w:hAnsi="inherit"/>
        </w:rPr>
        <w:t xml:space="preserve"> (Morgan-Smith, 2016). And Dynatrace had its own, which has turned into a semi-annual event (Hirsch, 2021). Each had different formats for how they do it, but they all treat it as a recurring event, not a one-and-done event.</w:t>
      </w:r>
    </w:p>
    <w:p w14:paraId="05DD1310" w14:textId="77777777" w:rsidR="00C56E9C" w:rsidRDefault="00C56E9C" w:rsidP="00C56E9C">
      <w:pPr>
        <w:pStyle w:val="NormalWeb"/>
        <w:spacing w:before="0" w:beforeAutospacing="0" w:after="0" w:afterAutospacing="0"/>
        <w:jc w:val="both"/>
        <w:rPr>
          <w:rFonts w:ascii="inherit" w:hAnsi="inherit"/>
        </w:rPr>
      </w:pPr>
    </w:p>
    <w:p w14:paraId="2A60DA04" w14:textId="77777777" w:rsidR="00C56E9C" w:rsidRDefault="00C56E9C" w:rsidP="00C56E9C">
      <w:pPr>
        <w:pStyle w:val="NormalWeb"/>
        <w:spacing w:before="0" w:beforeAutospacing="0" w:after="0" w:afterAutospacing="0"/>
        <w:jc w:val="both"/>
        <w:rPr>
          <w:rFonts w:ascii="inherit" w:hAnsi="inherit"/>
        </w:rPr>
      </w:pPr>
    </w:p>
    <w:p w14:paraId="4CEE2457" w14:textId="77777777" w:rsidR="00C56E9C" w:rsidRDefault="00C56E9C" w:rsidP="00C56E9C">
      <w:pPr>
        <w:numPr>
          <w:ilvl w:val="0"/>
          <w:numId w:val="1"/>
        </w:numPr>
        <w:spacing w:after="0" w:line="240" w:lineRule="auto"/>
        <w:jc w:val="both"/>
        <w:rPr>
          <w:rFonts w:ascii="inherit" w:hAnsi="inherit"/>
        </w:rPr>
      </w:pPr>
      <w:r>
        <w:rPr>
          <w:rFonts w:ascii="inherit" w:hAnsi="inherit"/>
        </w:rPr>
        <w:t xml:space="preserve">Hirsch, D. (2021, July 27). </w:t>
      </w:r>
      <w:r>
        <w:rPr>
          <w:rStyle w:val="Emphasis"/>
          <w:rFonts w:ascii="inherit" w:hAnsi="inherit"/>
        </w:rPr>
        <w:t>5 tips to a successful company-internal tech conference. Dynatrace Research and Engineering (Medium).</w:t>
      </w:r>
      <w:r>
        <w:rPr>
          <w:rFonts w:ascii="inherit" w:hAnsi="inherit"/>
        </w:rPr>
        <w:t xml:space="preserve"> </w:t>
      </w:r>
      <w:hyperlink r:id="rId5" w:tgtFrame="_blank" w:history="1">
        <w:r>
          <w:rPr>
            <w:rStyle w:val="Hyperlink"/>
            <w:rFonts w:ascii="inherit" w:hAnsi="inherit"/>
            <w:color w:val="467886"/>
          </w:rPr>
          <w:t>https://medium.com/dynatrace-engineering/5-tips-to-a-successful-company-internal-tech-conference-d82571b1120c</w:t>
        </w:r>
      </w:hyperlink>
    </w:p>
    <w:p w14:paraId="66F4F006" w14:textId="77777777" w:rsidR="00C56E9C" w:rsidRDefault="00C56E9C" w:rsidP="00C56E9C">
      <w:pPr>
        <w:numPr>
          <w:ilvl w:val="0"/>
          <w:numId w:val="1"/>
        </w:numPr>
        <w:spacing w:after="0" w:line="240" w:lineRule="auto"/>
        <w:jc w:val="both"/>
        <w:rPr>
          <w:rFonts w:ascii="inherit" w:hAnsi="inherit"/>
        </w:rPr>
      </w:pPr>
      <w:r>
        <w:rPr>
          <w:rFonts w:ascii="inherit" w:hAnsi="inherit"/>
        </w:rPr>
        <w:t xml:space="preserve">Morgan-Smith, V., &amp; Skelton, M. (2016, October 10). </w:t>
      </w:r>
      <w:r>
        <w:rPr>
          <w:rStyle w:val="Emphasis"/>
          <w:rFonts w:ascii="inherit" w:hAnsi="inherit"/>
        </w:rPr>
        <w:t>Internal tech conferences - how and why.</w:t>
      </w:r>
      <w:r>
        <w:rPr>
          <w:rFonts w:ascii="inherit" w:hAnsi="inherit"/>
        </w:rPr>
        <w:t xml:space="preserve"> </w:t>
      </w:r>
      <w:proofErr w:type="spellStart"/>
      <w:r>
        <w:rPr>
          <w:rFonts w:ascii="inherit" w:hAnsi="inherit"/>
        </w:rPr>
        <w:t>InfoQ</w:t>
      </w:r>
      <w:proofErr w:type="spellEnd"/>
      <w:r>
        <w:rPr>
          <w:rFonts w:ascii="inherit" w:hAnsi="inherit"/>
        </w:rPr>
        <w:t xml:space="preserve">. </w:t>
      </w:r>
      <w:hyperlink r:id="rId6" w:tgtFrame="_blank" w:history="1">
        <w:r>
          <w:rPr>
            <w:rStyle w:val="Hyperlink"/>
            <w:rFonts w:ascii="inherit" w:hAnsi="inherit"/>
            <w:color w:val="467886"/>
          </w:rPr>
          <w:t>https://www.infoq.com/articles/internal-tech-conferences</w:t>
        </w:r>
      </w:hyperlink>
    </w:p>
    <w:p w14:paraId="5DA90EE3" w14:textId="77777777" w:rsidR="00C56E9C" w:rsidRDefault="00C56E9C" w:rsidP="00C56E9C">
      <w:pPr>
        <w:pStyle w:val="NormalWeb"/>
        <w:spacing w:before="0" w:beforeAutospacing="0" w:after="0" w:afterAutospacing="0"/>
        <w:rPr>
          <w:rFonts w:ascii="inherit" w:hAnsi="inherit"/>
        </w:rPr>
      </w:pPr>
    </w:p>
    <w:p w14:paraId="659109E3" w14:textId="77777777" w:rsidR="002C6405" w:rsidRPr="00AF2035" w:rsidRDefault="002C6405" w:rsidP="009B2ACF">
      <w:pPr>
        <w:ind w:firstLine="720"/>
        <w:jc w:val="both"/>
      </w:pPr>
    </w:p>
    <w:sectPr w:rsidR="002C6405" w:rsidRPr="00AF20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A07EE4"/>
    <w:multiLevelType w:val="multilevel"/>
    <w:tmpl w:val="8DC6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4875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6E9"/>
    <w:rsid w:val="00142DF8"/>
    <w:rsid w:val="002C6405"/>
    <w:rsid w:val="00302929"/>
    <w:rsid w:val="00423563"/>
    <w:rsid w:val="0052748C"/>
    <w:rsid w:val="00570210"/>
    <w:rsid w:val="005E0F0C"/>
    <w:rsid w:val="0071718E"/>
    <w:rsid w:val="00792B82"/>
    <w:rsid w:val="00927BD1"/>
    <w:rsid w:val="009541C9"/>
    <w:rsid w:val="009851AC"/>
    <w:rsid w:val="009B2ACF"/>
    <w:rsid w:val="009C5532"/>
    <w:rsid w:val="00A30DF6"/>
    <w:rsid w:val="00AF2035"/>
    <w:rsid w:val="00B07540"/>
    <w:rsid w:val="00B54BB0"/>
    <w:rsid w:val="00B76BB8"/>
    <w:rsid w:val="00BF56E9"/>
    <w:rsid w:val="00C56E9C"/>
    <w:rsid w:val="00C8423B"/>
    <w:rsid w:val="00CF6A09"/>
    <w:rsid w:val="00DA791A"/>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490801"/>
  <w15:chartTrackingRefBased/>
  <w15:docId w15:val="{5BE66898-FB36-EE4A-8F68-8A1D23837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6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56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56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6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6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6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56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6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6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6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6E9"/>
    <w:rPr>
      <w:rFonts w:eastAsiaTheme="majorEastAsia" w:cstheme="majorBidi"/>
      <w:color w:val="272727" w:themeColor="text1" w:themeTint="D8"/>
    </w:rPr>
  </w:style>
  <w:style w:type="paragraph" w:styleId="Title">
    <w:name w:val="Title"/>
    <w:basedOn w:val="Normal"/>
    <w:next w:val="Normal"/>
    <w:link w:val="TitleChar"/>
    <w:uiPriority w:val="10"/>
    <w:qFormat/>
    <w:rsid w:val="00BF5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6E9"/>
    <w:pPr>
      <w:spacing w:before="160"/>
      <w:jc w:val="center"/>
    </w:pPr>
    <w:rPr>
      <w:i/>
      <w:iCs/>
      <w:color w:val="404040" w:themeColor="text1" w:themeTint="BF"/>
    </w:rPr>
  </w:style>
  <w:style w:type="character" w:customStyle="1" w:styleId="QuoteChar">
    <w:name w:val="Quote Char"/>
    <w:basedOn w:val="DefaultParagraphFont"/>
    <w:link w:val="Quote"/>
    <w:uiPriority w:val="29"/>
    <w:rsid w:val="00BF56E9"/>
    <w:rPr>
      <w:i/>
      <w:iCs/>
      <w:color w:val="404040" w:themeColor="text1" w:themeTint="BF"/>
    </w:rPr>
  </w:style>
  <w:style w:type="paragraph" w:styleId="ListParagraph">
    <w:name w:val="List Paragraph"/>
    <w:basedOn w:val="Normal"/>
    <w:uiPriority w:val="34"/>
    <w:qFormat/>
    <w:rsid w:val="00BF56E9"/>
    <w:pPr>
      <w:ind w:left="720"/>
      <w:contextualSpacing/>
    </w:pPr>
  </w:style>
  <w:style w:type="character" w:styleId="IntenseEmphasis">
    <w:name w:val="Intense Emphasis"/>
    <w:basedOn w:val="DefaultParagraphFont"/>
    <w:uiPriority w:val="21"/>
    <w:qFormat/>
    <w:rsid w:val="00BF56E9"/>
    <w:rPr>
      <w:i/>
      <w:iCs/>
      <w:color w:val="0F4761" w:themeColor="accent1" w:themeShade="BF"/>
    </w:rPr>
  </w:style>
  <w:style w:type="paragraph" w:styleId="IntenseQuote">
    <w:name w:val="Intense Quote"/>
    <w:basedOn w:val="Normal"/>
    <w:next w:val="Normal"/>
    <w:link w:val="IntenseQuoteChar"/>
    <w:uiPriority w:val="30"/>
    <w:qFormat/>
    <w:rsid w:val="00BF5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6E9"/>
    <w:rPr>
      <w:i/>
      <w:iCs/>
      <w:color w:val="0F4761" w:themeColor="accent1" w:themeShade="BF"/>
    </w:rPr>
  </w:style>
  <w:style w:type="character" w:styleId="IntenseReference">
    <w:name w:val="Intense Reference"/>
    <w:basedOn w:val="DefaultParagraphFont"/>
    <w:uiPriority w:val="32"/>
    <w:qFormat/>
    <w:rsid w:val="00BF56E9"/>
    <w:rPr>
      <w:b/>
      <w:bCs/>
      <w:smallCaps/>
      <w:color w:val="0F4761" w:themeColor="accent1" w:themeShade="BF"/>
      <w:spacing w:val="5"/>
    </w:rPr>
  </w:style>
  <w:style w:type="character" w:styleId="Hyperlink">
    <w:name w:val="Hyperlink"/>
    <w:basedOn w:val="DefaultParagraphFont"/>
    <w:uiPriority w:val="99"/>
    <w:unhideWhenUsed/>
    <w:rsid w:val="002C6405"/>
    <w:rPr>
      <w:color w:val="467886" w:themeColor="hyperlink"/>
      <w:u w:val="single"/>
    </w:rPr>
  </w:style>
  <w:style w:type="character" w:styleId="UnresolvedMention">
    <w:name w:val="Unresolved Mention"/>
    <w:basedOn w:val="DefaultParagraphFont"/>
    <w:uiPriority w:val="99"/>
    <w:semiHidden/>
    <w:unhideWhenUsed/>
    <w:rsid w:val="002C6405"/>
    <w:rPr>
      <w:color w:val="605E5C"/>
      <w:shd w:val="clear" w:color="auto" w:fill="E1DFDD"/>
    </w:rPr>
  </w:style>
  <w:style w:type="character" w:styleId="FollowedHyperlink">
    <w:name w:val="FollowedHyperlink"/>
    <w:basedOn w:val="DefaultParagraphFont"/>
    <w:uiPriority w:val="99"/>
    <w:semiHidden/>
    <w:unhideWhenUsed/>
    <w:rsid w:val="002C6405"/>
    <w:rPr>
      <w:color w:val="96607D" w:themeColor="followedHyperlink"/>
      <w:u w:val="single"/>
    </w:rPr>
  </w:style>
  <w:style w:type="paragraph" w:styleId="NormalWeb">
    <w:name w:val="Normal (Web)"/>
    <w:basedOn w:val="Normal"/>
    <w:uiPriority w:val="99"/>
    <w:semiHidden/>
    <w:unhideWhenUsed/>
    <w:rsid w:val="00C56E9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6E9C"/>
    <w:rPr>
      <w:b/>
      <w:bCs/>
    </w:rPr>
  </w:style>
  <w:style w:type="character" w:styleId="Emphasis">
    <w:name w:val="Emphasis"/>
    <w:basedOn w:val="DefaultParagraphFont"/>
    <w:uiPriority w:val="20"/>
    <w:qFormat/>
    <w:rsid w:val="00C56E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foq.com/articles/internal-tech-conferences" TargetMode="External"/><Relationship Id="rId5" Type="http://schemas.openxmlformats.org/officeDocument/2006/relationships/hyperlink" Target="https://medium.com/dynatrace-engineering/5-tips-to-a-successful-company-internal-tech-conference-d82571b1120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2</Pages>
  <Words>769</Words>
  <Characters>4385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4</cp:revision>
  <dcterms:created xsi:type="dcterms:W3CDTF">2026-07-20T23:18:00Z</dcterms:created>
  <dcterms:modified xsi:type="dcterms:W3CDTF">2026-07-21T04:04:00Z</dcterms:modified>
</cp:coreProperties>
</file>