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529A" w14:textId="58879F93" w:rsidR="00D10EDD" w:rsidRDefault="00BE7664">
      <w:r>
        <w:t>Bobby Massey</w:t>
      </w:r>
    </w:p>
    <w:p w14:paraId="6B39EB56" w14:textId="33375C92" w:rsidR="00BE7664" w:rsidRDefault="00BE7664">
      <w:r>
        <w:t>Assignment P2 – Event Planner</w:t>
      </w:r>
    </w:p>
    <w:p w14:paraId="54673E77" w14:textId="1A493E58" w:rsidR="00BE7664" w:rsidRDefault="00BE7664">
      <w:r>
        <w:t>CPSC 3118 – Graphical User Interface Dev.</w:t>
      </w:r>
    </w:p>
    <w:p w14:paraId="4827F66A" w14:textId="77777777" w:rsidR="00BE7664" w:rsidRDefault="00BE7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5E54" w14:paraId="362A8631" w14:textId="77777777" w:rsidTr="006F5E54">
        <w:tc>
          <w:tcPr>
            <w:tcW w:w="3116" w:type="dxa"/>
          </w:tcPr>
          <w:p w14:paraId="67DAAE4E" w14:textId="18E092EC" w:rsidR="006F5E54" w:rsidRDefault="006F5E54">
            <w:r>
              <w:t>Objects</w:t>
            </w:r>
          </w:p>
        </w:tc>
        <w:tc>
          <w:tcPr>
            <w:tcW w:w="3117" w:type="dxa"/>
          </w:tcPr>
          <w:p w14:paraId="4B5DE065" w14:textId="4ACA9E87" w:rsidR="006F5E54" w:rsidRDefault="006F5E54">
            <w:r>
              <w:t>Event Triggers</w:t>
            </w:r>
          </w:p>
        </w:tc>
        <w:tc>
          <w:tcPr>
            <w:tcW w:w="3117" w:type="dxa"/>
          </w:tcPr>
          <w:p w14:paraId="6B765868" w14:textId="66C2A0B6" w:rsidR="006F5E54" w:rsidRDefault="006F5E54">
            <w:r>
              <w:t>Event Processing</w:t>
            </w:r>
          </w:p>
        </w:tc>
      </w:tr>
      <w:tr w:rsidR="006F5E54" w14:paraId="27A76F43" w14:textId="77777777" w:rsidTr="006F5E54">
        <w:tc>
          <w:tcPr>
            <w:tcW w:w="3116" w:type="dxa"/>
          </w:tcPr>
          <w:p w14:paraId="186ADBBF" w14:textId="0ED2AD90" w:rsidR="006F5E54" w:rsidRDefault="006F5E54">
            <w:r>
              <w:t>Form1</w:t>
            </w:r>
          </w:p>
        </w:tc>
        <w:tc>
          <w:tcPr>
            <w:tcW w:w="3117" w:type="dxa"/>
          </w:tcPr>
          <w:p w14:paraId="567CEEF9" w14:textId="35977B0B" w:rsidR="006F5E54" w:rsidRDefault="002A73FB">
            <w:r>
              <w:t>This event is triggered when the form is loaded and is responsible for initializing the form and adding controls to it.</w:t>
            </w:r>
          </w:p>
        </w:tc>
        <w:tc>
          <w:tcPr>
            <w:tcW w:w="3117" w:type="dxa"/>
          </w:tcPr>
          <w:p w14:paraId="11E8B654" w14:textId="0062E334" w:rsidR="006F5E54" w:rsidRDefault="00BA0326">
            <w:r>
              <w:t>Form1_Load: Initializes the form, set its title, adds controls, loads in the payroll image.</w:t>
            </w:r>
          </w:p>
        </w:tc>
      </w:tr>
      <w:tr w:rsidR="006F5E54" w14:paraId="2C8901DC" w14:textId="77777777" w:rsidTr="006F5E54">
        <w:tc>
          <w:tcPr>
            <w:tcW w:w="3116" w:type="dxa"/>
          </w:tcPr>
          <w:p w14:paraId="5D642066" w14:textId="2E46F442" w:rsidR="006F5E54" w:rsidRDefault="006F5E54">
            <w:proofErr w:type="spellStart"/>
            <w:r>
              <w:t>picPayroll</w:t>
            </w:r>
            <w:proofErr w:type="spellEnd"/>
          </w:p>
        </w:tc>
        <w:tc>
          <w:tcPr>
            <w:tcW w:w="3117" w:type="dxa"/>
          </w:tcPr>
          <w:p w14:paraId="653BD8B2" w14:textId="77777777" w:rsidR="006F5E54" w:rsidRDefault="006F5E54"/>
        </w:tc>
        <w:tc>
          <w:tcPr>
            <w:tcW w:w="3117" w:type="dxa"/>
          </w:tcPr>
          <w:p w14:paraId="43F5173B" w14:textId="77777777" w:rsidR="006F5E54" w:rsidRDefault="006F5E54"/>
        </w:tc>
      </w:tr>
      <w:tr w:rsidR="006F5E54" w14:paraId="42928D8E" w14:textId="77777777" w:rsidTr="006F5E54">
        <w:tc>
          <w:tcPr>
            <w:tcW w:w="3116" w:type="dxa"/>
          </w:tcPr>
          <w:p w14:paraId="1F191D15" w14:textId="03DD240A" w:rsidR="006F5E54" w:rsidRDefault="002E13AE">
            <w:proofErr w:type="spellStart"/>
            <w:r>
              <w:t>lblTitle</w:t>
            </w:r>
            <w:proofErr w:type="spellEnd"/>
          </w:p>
        </w:tc>
        <w:tc>
          <w:tcPr>
            <w:tcW w:w="3117" w:type="dxa"/>
          </w:tcPr>
          <w:p w14:paraId="217D5F09" w14:textId="77777777" w:rsidR="006F5E54" w:rsidRDefault="006F5E54"/>
        </w:tc>
        <w:tc>
          <w:tcPr>
            <w:tcW w:w="3117" w:type="dxa"/>
          </w:tcPr>
          <w:p w14:paraId="61B39CC8" w14:textId="77777777" w:rsidR="006F5E54" w:rsidRDefault="006F5E54"/>
        </w:tc>
      </w:tr>
      <w:tr w:rsidR="006F5E54" w14:paraId="167BC68D" w14:textId="77777777" w:rsidTr="006F5E54">
        <w:tc>
          <w:tcPr>
            <w:tcW w:w="3116" w:type="dxa"/>
          </w:tcPr>
          <w:p w14:paraId="0B4D65D1" w14:textId="1F36170E" w:rsidR="006F5E54" w:rsidRDefault="002E13AE">
            <w:proofErr w:type="spellStart"/>
            <w:r>
              <w:t>lblSubTitle</w:t>
            </w:r>
            <w:proofErr w:type="spellEnd"/>
          </w:p>
        </w:tc>
        <w:tc>
          <w:tcPr>
            <w:tcW w:w="3117" w:type="dxa"/>
          </w:tcPr>
          <w:p w14:paraId="3347C59D" w14:textId="77777777" w:rsidR="006F5E54" w:rsidRDefault="006F5E54"/>
        </w:tc>
        <w:tc>
          <w:tcPr>
            <w:tcW w:w="3117" w:type="dxa"/>
          </w:tcPr>
          <w:p w14:paraId="6374E4D6" w14:textId="77777777" w:rsidR="006F5E54" w:rsidRDefault="006F5E54"/>
        </w:tc>
      </w:tr>
      <w:tr w:rsidR="006F5E54" w14:paraId="62FEE7A8" w14:textId="77777777" w:rsidTr="006F5E54">
        <w:tc>
          <w:tcPr>
            <w:tcW w:w="3116" w:type="dxa"/>
          </w:tcPr>
          <w:p w14:paraId="257CDCC6" w14:textId="01AED96F" w:rsidR="006F5E54" w:rsidRDefault="002E13AE">
            <w:proofErr w:type="spellStart"/>
            <w:r>
              <w:t>lblGrossPay</w:t>
            </w:r>
            <w:proofErr w:type="spellEnd"/>
          </w:p>
        </w:tc>
        <w:tc>
          <w:tcPr>
            <w:tcW w:w="3117" w:type="dxa"/>
          </w:tcPr>
          <w:p w14:paraId="422E71B2" w14:textId="77777777" w:rsidR="006F5E54" w:rsidRDefault="006F5E54"/>
        </w:tc>
        <w:tc>
          <w:tcPr>
            <w:tcW w:w="3117" w:type="dxa"/>
          </w:tcPr>
          <w:p w14:paraId="0ACC845F" w14:textId="77777777" w:rsidR="006F5E54" w:rsidRDefault="006F5E54"/>
        </w:tc>
      </w:tr>
      <w:tr w:rsidR="006F5E54" w14:paraId="7B107453" w14:textId="77777777" w:rsidTr="006F5E54">
        <w:tc>
          <w:tcPr>
            <w:tcW w:w="3116" w:type="dxa"/>
          </w:tcPr>
          <w:p w14:paraId="680A0C3E" w14:textId="692ADB70" w:rsidR="006F5E54" w:rsidRDefault="002E13AE">
            <w:proofErr w:type="spellStart"/>
            <w:r>
              <w:t>txtGrossPay</w:t>
            </w:r>
            <w:proofErr w:type="spellEnd"/>
          </w:p>
        </w:tc>
        <w:tc>
          <w:tcPr>
            <w:tcW w:w="3117" w:type="dxa"/>
          </w:tcPr>
          <w:p w14:paraId="64849C29" w14:textId="77777777" w:rsidR="006F5E54" w:rsidRDefault="006F5E54"/>
        </w:tc>
        <w:tc>
          <w:tcPr>
            <w:tcW w:w="3117" w:type="dxa"/>
          </w:tcPr>
          <w:p w14:paraId="4E67B17A" w14:textId="77777777" w:rsidR="006F5E54" w:rsidRDefault="006F5E54"/>
        </w:tc>
      </w:tr>
      <w:tr w:rsidR="006F5E54" w14:paraId="3EB90486" w14:textId="77777777" w:rsidTr="006F5E54">
        <w:tc>
          <w:tcPr>
            <w:tcW w:w="3116" w:type="dxa"/>
          </w:tcPr>
          <w:p w14:paraId="414BA0A5" w14:textId="5D4E27D4" w:rsidR="006F5E54" w:rsidRDefault="002E13AE">
            <w:proofErr w:type="spellStart"/>
            <w:r>
              <w:t>btnComputeTaxes</w:t>
            </w:r>
            <w:proofErr w:type="spellEnd"/>
          </w:p>
        </w:tc>
        <w:tc>
          <w:tcPr>
            <w:tcW w:w="3117" w:type="dxa"/>
          </w:tcPr>
          <w:p w14:paraId="0D5EA399" w14:textId="0B01505A" w:rsidR="006F5E54" w:rsidRDefault="00BA0326">
            <w:proofErr w:type="spellStart"/>
            <w:r>
              <w:t>btnComputeTaxes_Click</w:t>
            </w:r>
            <w:proofErr w:type="spellEnd"/>
            <w:r>
              <w:t>: This event is triggered when the “Compute Taxes” button is clicked and is responsible for computing taxes based on the entered gross pay and displaying the results.</w:t>
            </w:r>
          </w:p>
        </w:tc>
        <w:tc>
          <w:tcPr>
            <w:tcW w:w="3117" w:type="dxa"/>
          </w:tcPr>
          <w:p w14:paraId="02B6ED44" w14:textId="1E9E7CBA" w:rsidR="006F5E54" w:rsidRDefault="00BA0326">
            <w:r>
              <w:t xml:space="preserve">Reads the gross pay entered in the text box, </w:t>
            </w:r>
            <w:r w:rsidR="007D2AAB">
              <w:t xml:space="preserve">computes FICA, Federal, State Taxes, and net income based on the constants and formula </w:t>
            </w:r>
            <w:proofErr w:type="gramStart"/>
            <w:r w:rsidR="007D2AAB">
              <w:t>provided, and</w:t>
            </w:r>
            <w:proofErr w:type="gramEnd"/>
            <w:r w:rsidR="007D2AAB">
              <w:t xml:space="preserve"> displays the calculated values in the respective fields.</w:t>
            </w:r>
          </w:p>
        </w:tc>
      </w:tr>
      <w:tr w:rsidR="009E4DCC" w14:paraId="47978AD5" w14:textId="77777777" w:rsidTr="006F5E54">
        <w:tc>
          <w:tcPr>
            <w:tcW w:w="3116" w:type="dxa"/>
          </w:tcPr>
          <w:p w14:paraId="58F03185" w14:textId="2F20FC19" w:rsidR="009E4DCC" w:rsidRDefault="006A233E">
            <w:proofErr w:type="spellStart"/>
            <w:r>
              <w:t>btnClear</w:t>
            </w:r>
            <w:proofErr w:type="spellEnd"/>
          </w:p>
        </w:tc>
        <w:tc>
          <w:tcPr>
            <w:tcW w:w="3117" w:type="dxa"/>
          </w:tcPr>
          <w:p w14:paraId="11A8A32C" w14:textId="4D848906" w:rsidR="009E4DCC" w:rsidRDefault="00C87ADB">
            <w:proofErr w:type="spellStart"/>
            <w:r>
              <w:t>btn</w:t>
            </w:r>
            <w:r>
              <w:t>Clear</w:t>
            </w:r>
            <w:r>
              <w:t>_Click</w:t>
            </w:r>
            <w:proofErr w:type="spellEnd"/>
            <w:r>
              <w:t>: This event is triggered when the “Clear” button is clicked and is responsible for clearing all fields.</w:t>
            </w:r>
          </w:p>
        </w:tc>
        <w:tc>
          <w:tcPr>
            <w:tcW w:w="3117" w:type="dxa"/>
          </w:tcPr>
          <w:p w14:paraId="0D887906" w14:textId="2BB26728" w:rsidR="009E4DCC" w:rsidRDefault="00BA0326">
            <w:r>
              <w:t>Clears all fields when the “Clear” button is clicked by resetting the text of the tax labels to “0.00”.</w:t>
            </w:r>
          </w:p>
        </w:tc>
      </w:tr>
      <w:tr w:rsidR="006A233E" w14:paraId="4FF83F75" w14:textId="77777777" w:rsidTr="006F5E54">
        <w:tc>
          <w:tcPr>
            <w:tcW w:w="3116" w:type="dxa"/>
          </w:tcPr>
          <w:p w14:paraId="31A5A52B" w14:textId="21097779" w:rsidR="006A233E" w:rsidRDefault="006A233E">
            <w:proofErr w:type="spellStart"/>
            <w:r>
              <w:t>btnExit</w:t>
            </w:r>
            <w:proofErr w:type="spellEnd"/>
          </w:p>
        </w:tc>
        <w:tc>
          <w:tcPr>
            <w:tcW w:w="3117" w:type="dxa"/>
          </w:tcPr>
          <w:p w14:paraId="3ABE39C3" w14:textId="343BEC90" w:rsidR="006A233E" w:rsidRDefault="00C87ADB">
            <w:proofErr w:type="spellStart"/>
            <w:r>
              <w:t>btnExit_Click</w:t>
            </w:r>
            <w:proofErr w:type="spellEnd"/>
            <w:r>
              <w:t xml:space="preserve">: </w:t>
            </w:r>
            <w:r w:rsidR="00507702">
              <w:t>This event is triggered when the “Exit” button is clicked and is responsible for closing the program.</w:t>
            </w:r>
          </w:p>
        </w:tc>
        <w:tc>
          <w:tcPr>
            <w:tcW w:w="3117" w:type="dxa"/>
          </w:tcPr>
          <w:p w14:paraId="2EBAD132" w14:textId="4D433CD5" w:rsidR="006A233E" w:rsidRDefault="00BA0326">
            <w:r>
              <w:t>Closes the program when the “Exit” button is clicked.</w:t>
            </w:r>
          </w:p>
        </w:tc>
      </w:tr>
      <w:tr w:rsidR="006A233E" w14:paraId="6EF67552" w14:textId="77777777" w:rsidTr="006F5E54">
        <w:tc>
          <w:tcPr>
            <w:tcW w:w="3116" w:type="dxa"/>
          </w:tcPr>
          <w:p w14:paraId="1BE9D5B6" w14:textId="2F8BF57D" w:rsidR="006A233E" w:rsidRDefault="002A73FB">
            <w:proofErr w:type="spellStart"/>
            <w:r>
              <w:t>lblFica</w:t>
            </w:r>
            <w:proofErr w:type="spellEnd"/>
          </w:p>
        </w:tc>
        <w:tc>
          <w:tcPr>
            <w:tcW w:w="3117" w:type="dxa"/>
          </w:tcPr>
          <w:p w14:paraId="74B87809" w14:textId="77777777" w:rsidR="006A233E" w:rsidRDefault="006A233E"/>
        </w:tc>
        <w:tc>
          <w:tcPr>
            <w:tcW w:w="3117" w:type="dxa"/>
          </w:tcPr>
          <w:p w14:paraId="63E1F810" w14:textId="77777777" w:rsidR="006A233E" w:rsidRDefault="006A233E"/>
        </w:tc>
      </w:tr>
      <w:tr w:rsidR="006A233E" w14:paraId="3F5EC1D6" w14:textId="77777777" w:rsidTr="006F5E54">
        <w:tc>
          <w:tcPr>
            <w:tcW w:w="3116" w:type="dxa"/>
          </w:tcPr>
          <w:p w14:paraId="6272E8CF" w14:textId="116F33C4" w:rsidR="006A233E" w:rsidRDefault="002A73FB">
            <w:proofErr w:type="spellStart"/>
            <w:r>
              <w:t>lblFederal</w:t>
            </w:r>
            <w:proofErr w:type="spellEnd"/>
          </w:p>
        </w:tc>
        <w:tc>
          <w:tcPr>
            <w:tcW w:w="3117" w:type="dxa"/>
          </w:tcPr>
          <w:p w14:paraId="6D5A47DB" w14:textId="77777777" w:rsidR="006A233E" w:rsidRDefault="006A233E"/>
        </w:tc>
        <w:tc>
          <w:tcPr>
            <w:tcW w:w="3117" w:type="dxa"/>
          </w:tcPr>
          <w:p w14:paraId="3B8383A9" w14:textId="77777777" w:rsidR="006A233E" w:rsidRDefault="006A233E"/>
        </w:tc>
      </w:tr>
      <w:tr w:rsidR="006A233E" w14:paraId="36AEBED1" w14:textId="77777777" w:rsidTr="006F5E54">
        <w:tc>
          <w:tcPr>
            <w:tcW w:w="3116" w:type="dxa"/>
          </w:tcPr>
          <w:p w14:paraId="134C3FB0" w14:textId="075B575B" w:rsidR="006A233E" w:rsidRDefault="002A73FB">
            <w:proofErr w:type="spellStart"/>
            <w:r>
              <w:t>lblState</w:t>
            </w:r>
            <w:proofErr w:type="spellEnd"/>
          </w:p>
        </w:tc>
        <w:tc>
          <w:tcPr>
            <w:tcW w:w="3117" w:type="dxa"/>
          </w:tcPr>
          <w:p w14:paraId="6F33EF11" w14:textId="77777777" w:rsidR="006A233E" w:rsidRDefault="006A233E"/>
        </w:tc>
        <w:tc>
          <w:tcPr>
            <w:tcW w:w="3117" w:type="dxa"/>
          </w:tcPr>
          <w:p w14:paraId="36675EDB" w14:textId="77777777" w:rsidR="006A233E" w:rsidRDefault="006A233E"/>
        </w:tc>
      </w:tr>
      <w:tr w:rsidR="006A233E" w14:paraId="2354EC88" w14:textId="77777777" w:rsidTr="006F5E54">
        <w:tc>
          <w:tcPr>
            <w:tcW w:w="3116" w:type="dxa"/>
          </w:tcPr>
          <w:p w14:paraId="6F0BBBDF" w14:textId="2E51B02A" w:rsidR="006A233E" w:rsidRDefault="002A73FB">
            <w:proofErr w:type="spellStart"/>
            <w:r>
              <w:t>LblNetIncome</w:t>
            </w:r>
            <w:proofErr w:type="spellEnd"/>
          </w:p>
        </w:tc>
        <w:tc>
          <w:tcPr>
            <w:tcW w:w="3117" w:type="dxa"/>
          </w:tcPr>
          <w:p w14:paraId="3033538C" w14:textId="77777777" w:rsidR="006A233E" w:rsidRDefault="006A233E"/>
        </w:tc>
        <w:tc>
          <w:tcPr>
            <w:tcW w:w="3117" w:type="dxa"/>
          </w:tcPr>
          <w:p w14:paraId="3C18ED50" w14:textId="77777777" w:rsidR="006A233E" w:rsidRDefault="006A233E"/>
        </w:tc>
      </w:tr>
    </w:tbl>
    <w:p w14:paraId="6CC95EF9" w14:textId="77777777" w:rsidR="00BE7664" w:rsidRDefault="00BE7664"/>
    <w:sectPr w:rsidR="00BE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92"/>
    <w:rsid w:val="002A73FB"/>
    <w:rsid w:val="002E13AE"/>
    <w:rsid w:val="0032062E"/>
    <w:rsid w:val="004E7592"/>
    <w:rsid w:val="00507702"/>
    <w:rsid w:val="006A233E"/>
    <w:rsid w:val="006F5E54"/>
    <w:rsid w:val="007D2AAB"/>
    <w:rsid w:val="009D4927"/>
    <w:rsid w:val="009E4DCC"/>
    <w:rsid w:val="00BA0326"/>
    <w:rsid w:val="00BE7664"/>
    <w:rsid w:val="00C87ADB"/>
    <w:rsid w:val="00D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908E"/>
  <w15:chartTrackingRefBased/>
  <w15:docId w15:val="{B4F09C0C-A29F-4FD0-88C3-6BEB8D6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Massey [STUDENT]</dc:creator>
  <cp:keywords/>
  <dc:description/>
  <cp:lastModifiedBy>Bobby Massey</cp:lastModifiedBy>
  <cp:revision>2</cp:revision>
  <dcterms:created xsi:type="dcterms:W3CDTF">2024-02-22T21:14:00Z</dcterms:created>
  <dcterms:modified xsi:type="dcterms:W3CDTF">2024-02-22T21:14:00Z</dcterms:modified>
</cp:coreProperties>
</file>