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995E5B" w:rsidRDefault="00D75F2B" w:rsidP="00D74557">
      <w:pPr>
        <w:jc w:val="center"/>
        <w:rPr>
          <w:highlight w:val="yellow"/>
        </w:rPr>
      </w:pPr>
      <w:r w:rsidRPr="00995E5B">
        <w:rPr>
          <w:highlight w:val="yellow"/>
        </w:rPr>
        <w:t>Title</w:t>
      </w:r>
      <w:r w:rsidR="00D74557">
        <w:rPr>
          <w:highlight w:val="yellow"/>
        </w:rPr>
        <w:t>:</w:t>
      </w:r>
      <w:r w:rsidRPr="00995E5B">
        <w:rPr>
          <w:highlight w:val="yellow"/>
        </w:rPr>
        <w:t xml:space="preserve"> </w:t>
      </w:r>
    </w:p>
    <w:p w14:paraId="76A3CACF" w14:textId="3990F574" w:rsidR="00D75F2B" w:rsidRPr="005437F1" w:rsidRDefault="00D75F2B" w:rsidP="00D75F2B">
      <w:pPr>
        <w:jc w:val="center"/>
        <w:rPr>
          <w:sz w:val="32"/>
          <w:szCs w:val="32"/>
        </w:rPr>
      </w:pPr>
      <w:r w:rsidRPr="005437F1">
        <w:rPr>
          <w:sz w:val="32"/>
          <w:szCs w:val="32"/>
          <w:highlight w:val="yellow"/>
        </w:rPr>
        <w:t xml:space="preserve">Joint Association of Genetic Risk and </w:t>
      </w:r>
      <w:r w:rsidR="00D74557" w:rsidRPr="005437F1">
        <w:rPr>
          <w:sz w:val="32"/>
          <w:szCs w:val="32"/>
          <w:highlight w:val="yellow"/>
        </w:rPr>
        <w:t>Accelerometer-</w:t>
      </w:r>
      <w:r w:rsidRPr="005437F1">
        <w:rPr>
          <w:sz w:val="32"/>
          <w:szCs w:val="32"/>
          <w:highlight w:val="yellow"/>
        </w:rPr>
        <w:t xml:space="preserve">Measured Physical Activity </w:t>
      </w:r>
      <w:r w:rsidR="001A5EED" w:rsidRPr="000D5088">
        <w:rPr>
          <w:strike/>
          <w:sz w:val="32"/>
          <w:szCs w:val="32"/>
          <w:highlight w:val="yellow"/>
        </w:rPr>
        <w:t>Volume and Intensity</w:t>
      </w:r>
      <w:r w:rsidR="001A5EED">
        <w:rPr>
          <w:sz w:val="32"/>
          <w:szCs w:val="32"/>
          <w:highlight w:val="yellow"/>
        </w:rPr>
        <w:t xml:space="preserve"> </w:t>
      </w:r>
      <w:r w:rsidRPr="005437F1">
        <w:rPr>
          <w:sz w:val="32"/>
          <w:szCs w:val="32"/>
          <w:highlight w:val="yellow"/>
        </w:rPr>
        <w:t>with Incident Coronary Artery Disease in</w:t>
      </w:r>
      <w:r w:rsidR="008213FE">
        <w:rPr>
          <w:sz w:val="32"/>
          <w:szCs w:val="32"/>
          <w:highlight w:val="yellow"/>
        </w:rPr>
        <w:t xml:space="preserve"> the </w:t>
      </w:r>
      <w:r w:rsidRPr="005437F1">
        <w:rPr>
          <w:sz w:val="32"/>
          <w:szCs w:val="32"/>
          <w:highlight w:val="yellow"/>
        </w:rPr>
        <w:t xml:space="preserve">UK </w:t>
      </w:r>
      <w:commentRangeStart w:id="0"/>
      <w:commentRangeStart w:id="1"/>
      <w:commentRangeStart w:id="2"/>
      <w:r w:rsidRPr="005437F1">
        <w:rPr>
          <w:sz w:val="32"/>
          <w:szCs w:val="32"/>
          <w:highlight w:val="yellow"/>
        </w:rPr>
        <w:t>Biobank</w:t>
      </w:r>
      <w:commentRangeEnd w:id="0"/>
      <w:r w:rsidR="006A1A6A">
        <w:rPr>
          <w:rStyle w:val="CommentReference"/>
        </w:rPr>
        <w:commentReference w:id="0"/>
      </w:r>
      <w:commentRangeEnd w:id="1"/>
      <w:r w:rsidR="005F62BE">
        <w:rPr>
          <w:rStyle w:val="CommentReference"/>
        </w:rPr>
        <w:commentReference w:id="1"/>
      </w:r>
      <w:commentRangeEnd w:id="2"/>
      <w:r w:rsidR="00965C59">
        <w:rPr>
          <w:rStyle w:val="CommentReference"/>
        </w:rPr>
        <w:commentReference w:id="2"/>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60BB01CE" w:rsidR="00987FCB" w:rsidRDefault="007542EB">
      <w:pPr>
        <w:rPr>
          <w:b/>
          <w:bCs/>
        </w:rPr>
      </w:pPr>
      <w:r>
        <w:rPr>
          <w:b/>
          <w:bCs/>
        </w:rPr>
        <w:t xml:space="preserve">Currently at </w:t>
      </w:r>
      <w:r w:rsidR="0070331F">
        <w:rPr>
          <w:b/>
          <w:bCs/>
        </w:rPr>
        <w:t>34</w:t>
      </w:r>
      <w:r w:rsidR="00D74557">
        <w:rPr>
          <w:b/>
          <w:bCs/>
        </w:rPr>
        <w:t>90</w:t>
      </w:r>
      <w:r>
        <w:rPr>
          <w:b/>
          <w:bCs/>
        </w:rPr>
        <w:t xml:space="preserve"> </w:t>
      </w:r>
      <w:r w:rsidR="00D74557">
        <w:rPr>
          <w:b/>
          <w:bCs/>
        </w:rPr>
        <w:t>words and exactly 5 tables/figures</w:t>
      </w:r>
    </w:p>
    <w:p w14:paraId="55D29AEF" w14:textId="4CB8FB37" w:rsidR="00987FCB" w:rsidRDefault="008322E7">
      <w:pPr>
        <w:rPr>
          <w:b/>
          <w:bCs/>
        </w:rPr>
      </w:pPr>
      <w:r>
        <w:rPr>
          <w:b/>
          <w:bCs/>
        </w:rPr>
        <w:t xml:space="preserve">STRUCTURED ABSTRACT (up to 350 </w:t>
      </w:r>
      <w:commentRangeStart w:id="3"/>
      <w:r>
        <w:rPr>
          <w:b/>
          <w:bCs/>
        </w:rPr>
        <w:t>words</w:t>
      </w:r>
      <w:commentRangeEnd w:id="3"/>
      <w:r w:rsidR="005F62BE">
        <w:rPr>
          <w:rStyle w:val="CommentReference"/>
        </w:rPr>
        <w:commentReference w:id="3"/>
      </w:r>
      <w:r>
        <w:rPr>
          <w:b/>
          <w:bCs/>
        </w:rPr>
        <w:t>):</w:t>
      </w:r>
    </w:p>
    <w:p w14:paraId="21E47542" w14:textId="134CE74F" w:rsidR="008322E7" w:rsidRDefault="008322E7">
      <w:pPr>
        <w:rPr>
          <w:b/>
          <w:bCs/>
        </w:rPr>
      </w:pPr>
      <w:r>
        <w:rPr>
          <w:b/>
          <w:bCs/>
        </w:rPr>
        <w:t>Importance:</w:t>
      </w:r>
    </w:p>
    <w:p w14:paraId="47038DB4" w14:textId="11DD3222" w:rsidR="00452C49" w:rsidRDefault="00452C49">
      <w:r>
        <w:t>Genetics and physical activity are established risk factors for coronary artery disease. However, whether accelerometer-measured physical activity volume or intensity can offset genetic predisposition to coronary artery disease remains unexplored.</w:t>
      </w:r>
    </w:p>
    <w:p w14:paraId="59C1CE10" w14:textId="661CD495" w:rsidR="008322E7" w:rsidRDefault="008322E7">
      <w:pPr>
        <w:rPr>
          <w:b/>
          <w:bCs/>
        </w:rPr>
      </w:pPr>
      <w:r>
        <w:rPr>
          <w:b/>
          <w:bCs/>
        </w:rPr>
        <w:t>Objective</w:t>
      </w:r>
      <w:r w:rsidR="009D23FD">
        <w:rPr>
          <w:b/>
          <w:bCs/>
        </w:rPr>
        <w:t>:</w:t>
      </w:r>
    </w:p>
    <w:p w14:paraId="67811338" w14:textId="3827EB50" w:rsidR="00452C49" w:rsidRDefault="00452C49">
      <w:r>
        <w:t xml:space="preserve">To explore the independent and joint associations between accelerometer-measured physical activity volume and intensity and genetic risk and 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0F1EC956"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A total of 65,079 individuals of White British ancestry </w:t>
      </w:r>
      <w:r w:rsidR="005F62BE">
        <w:t xml:space="preserve">were included in the study who </w:t>
      </w:r>
      <w:r>
        <w:t xml:space="preserve">met the genotyping and accelerometer-based inclusion criteria </w:t>
      </w:r>
      <w:r w:rsidR="00C47BD8">
        <w:t>and had 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45BE14B9" w:rsidR="00C47BD8" w:rsidRPr="00C47BD8" w:rsidRDefault="007851EF">
      <w:r>
        <w:t xml:space="preserve">Incident coronary artery disease based on hospital inpatient records, death data, and self-report serves as the outcome of this study. </w:t>
      </w:r>
      <w:r w:rsidRPr="005F62BE">
        <w:t>The association between incident coronary artery disease and genetic risk and physical activity volume and intensity is examined both continuously and by risk quintile with this continuous model.</w:t>
      </w:r>
    </w:p>
    <w:p w14:paraId="582ED9A8" w14:textId="3DFA1139" w:rsidR="008322E7" w:rsidRDefault="008322E7">
      <w:pPr>
        <w:rPr>
          <w:b/>
          <w:bCs/>
        </w:rPr>
      </w:pPr>
      <w:r>
        <w:rPr>
          <w:b/>
          <w:bCs/>
        </w:rPr>
        <w:t>Results</w:t>
      </w:r>
      <w:r w:rsidR="007851EF">
        <w:rPr>
          <w:b/>
          <w:bCs/>
        </w:rPr>
        <w:t>:</w:t>
      </w:r>
    </w:p>
    <w:p w14:paraId="4C870BC9" w14:textId="79A15012" w:rsidR="00CD341F" w:rsidRDefault="00CD341F" w:rsidP="007851EF">
      <w:r>
        <w:t>In the final sample of 65,079 individuals, the mean</w:t>
      </w:r>
      <w:r w:rsidR="00AD72A8">
        <w:t xml:space="preserve"> (SD)</w:t>
      </w:r>
      <w:r>
        <w:t xml:space="preserve"> age was 62.51</w:t>
      </w:r>
      <w:r w:rsidR="00AD72A8">
        <w:t xml:space="preserve"> (7.76)</w:t>
      </w:r>
      <w:r>
        <w:t xml:space="preserve"> and 61% of the sample was female. </w:t>
      </w:r>
      <w:r w:rsidR="00AD72A8">
        <w:t xml:space="preserve">During a median follow-up of 6.8 years, 1,382 cases of coronary artery disease developed. </w:t>
      </w:r>
      <w:r w:rsidR="005F62BE">
        <w:t xml:space="preserve">Within a genetic risk stratum, </w:t>
      </w:r>
      <w:r w:rsidR="00AD72A8">
        <w:t>Physical activity intensity</w:t>
      </w:r>
      <w:r w:rsidR="000372BF">
        <w:t>, measured as percent of physical activity of moderate-to-vigorous intensity,</w:t>
      </w:r>
      <w:r w:rsidR="00AD72A8">
        <w:t xml:space="preserve"> had a stronger association with coronary artery disease 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 of physical activity intensity versus 1.31 (95% CI: 1.20-1.45). The combination of high genetic risk and low physical activity intensity produced the greatest </w:t>
      </w:r>
      <w:r w:rsidR="00AD72A8">
        <w:lastRenderedPageBreak/>
        <w:t>overall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risk</w:t>
      </w:r>
      <w:r w:rsidR="00333147">
        <w:t>.</w:t>
      </w:r>
    </w:p>
    <w:p w14:paraId="566D9184" w14:textId="0A8B19E6" w:rsidR="008322E7" w:rsidRDefault="008322E7">
      <w:pPr>
        <w:rPr>
          <w:b/>
          <w:bCs/>
        </w:rPr>
      </w:pPr>
      <w:r>
        <w:rPr>
          <w:b/>
          <w:bCs/>
        </w:rPr>
        <w:t>Conclusions and Relevance</w:t>
      </w:r>
      <w:r w:rsidR="00AD72A8">
        <w:rPr>
          <w:b/>
          <w:bCs/>
        </w:rPr>
        <w:t>:</w:t>
      </w:r>
    </w:p>
    <w:p w14:paraId="1C2A6D62" w14:textId="2B1EB14D" w:rsidR="009035D1" w:rsidRDefault="009035D1" w:rsidP="009035D1">
      <w:r>
        <w:t>P</w:t>
      </w:r>
      <w:r>
        <w:t>hysical activity</w:t>
      </w:r>
      <w:r w:rsidR="005F62BE">
        <w:t>, especially physical activity intensity, appears</w:t>
      </w:r>
      <w:r>
        <w:t xml:space="preserve"> beneficial regardless of an individual’s </w:t>
      </w:r>
      <w:r>
        <w:t>coronary artery disease</w:t>
      </w:r>
      <w:r>
        <w:t xml:space="preserve"> genetic risk</w:t>
      </w:r>
      <w:r>
        <w:t xml:space="preserve">. Patients at high genetic risk may particularly benefit from </w:t>
      </w:r>
      <w:r w:rsidR="009E344C">
        <w:t xml:space="preserve">moderate-to-vigorous </w:t>
      </w:r>
      <w:r>
        <w:t>physical activity and wrist-worn accelerometers can help track their progress.</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r>
        <w:t>?</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193B8784"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may be beneficial, especially 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A0E50C4" w:rsidR="00D74557" w:rsidRDefault="00D74557">
      <w:pPr>
        <w:rPr>
          <w:b/>
          <w:bCs/>
        </w:rPr>
      </w:pPr>
    </w:p>
    <w:p w14:paraId="023D34BE" w14:textId="011CFFB8" w:rsidR="00D74557" w:rsidRDefault="00D74557">
      <w:pPr>
        <w:rPr>
          <w:b/>
          <w:bCs/>
        </w:rPr>
      </w:pPr>
    </w:p>
    <w:p w14:paraId="508AED24" w14:textId="7CB870DC" w:rsidR="00D74557" w:rsidRDefault="00D74557">
      <w:pPr>
        <w:rPr>
          <w:b/>
          <w:bCs/>
        </w:rPr>
      </w:pPr>
    </w:p>
    <w:p w14:paraId="4ACE9F82" w14:textId="73CA142B" w:rsidR="00D74557" w:rsidRDefault="00D74557">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t>INTRODUCTION</w:t>
      </w:r>
    </w:p>
    <w:p w14:paraId="1889C8E7" w14:textId="17B4B64D" w:rsidR="00990AF5" w:rsidRDefault="007851EE">
      <w:r>
        <w:t>Coronary artery disease (CAD)</w:t>
      </w:r>
      <w:r w:rsidR="00D73488">
        <w:t xml:space="preserve"> is one of the leading causes of death and disability worldwide (1)(2). Both physical activity and underlying genetic risk play a crucial role in </w:t>
      </w:r>
      <w:r w:rsidR="00D477AF">
        <w:t>its development</w:t>
      </w:r>
      <w:r w:rsidR="00D73488">
        <w:t xml:space="preserve"> (</w:t>
      </w:r>
      <w:r w:rsidR="00990AF5">
        <w:t>3</w:t>
      </w:r>
      <w:r w:rsidR="00D73488">
        <w:t>)(</w:t>
      </w:r>
      <w:r w:rsidR="00990AF5">
        <w:t>4</w:t>
      </w:r>
      <w:r w:rsidR="00D73488">
        <w:t>).</w:t>
      </w:r>
      <w:r w:rsidR="00750265">
        <w:t xml:space="preserve"> Decades of evidence have demonstrated the importance of physical activity volume and intensity in reducing the risk of CAD and cardiovascular diseases more broadly (4)</w:t>
      </w:r>
      <w:r w:rsidR="00893E6C">
        <w:t>(5)</w:t>
      </w:r>
      <w:r w:rsidR="00750265">
        <w:t>(</w:t>
      </w:r>
      <w:r w:rsidR="00893E6C">
        <w:t>6</w:t>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even </w:t>
      </w:r>
      <w:r w:rsidR="00327889">
        <w:t>greater</w:t>
      </w:r>
      <w:r w:rsidR="002F171F">
        <w:t xml:space="preserve"> than previously realized</w:t>
      </w:r>
      <w:r w:rsidR="007853F7">
        <w:t xml:space="preserve"> and that physical activity intensity and volume may</w:t>
      </w:r>
      <w:r w:rsidR="00FE3815">
        <w:t xml:space="preserve"> contribute to </w:t>
      </w:r>
      <w:r w:rsidR="007853F7">
        <w:t>this risk reduction</w:t>
      </w:r>
      <w:r w:rsidR="002F171F">
        <w:t xml:space="preserve"> </w:t>
      </w:r>
      <w:r w:rsidR="00750265">
        <w:t>(</w:t>
      </w:r>
      <w:r w:rsidR="00893E6C">
        <w:t>7</w:t>
      </w:r>
      <w:r w:rsidR="00750265">
        <w:t>)</w:t>
      </w:r>
      <w:r w:rsidR="002F171F">
        <w:t>(</w:t>
      </w:r>
      <w:r w:rsidR="00893E6C">
        <w:t>8</w:t>
      </w:r>
      <w:r w:rsidR="002F171F">
        <w:t>)</w:t>
      </w:r>
      <w:r w:rsidR="007B3B1F">
        <w:t>(</w:t>
      </w:r>
      <w:r w:rsidR="00893E6C">
        <w:t>9</w:t>
      </w:r>
      <w:r w:rsidR="007B3B1F">
        <w:t>)</w:t>
      </w:r>
      <w:r w:rsidR="00A52666">
        <w:t>(10)(11)</w:t>
      </w:r>
      <w:r w:rsidR="002F171F">
        <w:t>.</w:t>
      </w:r>
    </w:p>
    <w:p w14:paraId="7ABBB0D4" w14:textId="2E32523C" w:rsidR="002F171F" w:rsidRDefault="002F171F">
      <w:r>
        <w:t>While genetic susceptibility to CAD was firmly established decades ago by twin studies, recent genome-wide association studies have rapidly identified millions of variants associated with CAD (</w:t>
      </w:r>
      <w:r w:rsidR="00893E6C">
        <w:t>1</w:t>
      </w:r>
      <w:r w:rsidR="00A52666">
        <w:t>2</w:t>
      </w:r>
      <w:r>
        <w:t>)(</w:t>
      </w:r>
      <w:r w:rsidR="00893E6C">
        <w:t>1</w:t>
      </w:r>
      <w:r w:rsidR="00A52666">
        <w:t>3</w:t>
      </w:r>
      <w:r w:rsidR="00893E6C">
        <w:t>)(1</w:t>
      </w:r>
      <w:r w:rsidR="00A52666">
        <w:t>4</w:t>
      </w:r>
      <w:r>
        <w:t xml:space="preserve">). </w:t>
      </w:r>
      <w:r w:rsidR="007B3B1F">
        <w:t>New</w:t>
      </w:r>
      <w:r>
        <w:t xml:space="preserve"> methods 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054388">
        <w:t xml:space="preserve">an individual’s </w:t>
      </w:r>
      <w:r w:rsidR="007B3B1F">
        <w:t xml:space="preserve">genetic risk of developing CAD </w:t>
      </w:r>
      <w:r>
        <w:t>(</w:t>
      </w:r>
      <w:r w:rsidR="00DB7250">
        <w:t>1</w:t>
      </w:r>
      <w:r w:rsidR="00A52666">
        <w:t>5</w:t>
      </w:r>
      <w:r>
        <w:t>).</w:t>
      </w:r>
    </w:p>
    <w:p w14:paraId="6B6099F3" w14:textId="456040C3" w:rsidR="00FD3B7E" w:rsidRDefault="007B3B1F" w:rsidP="00EC64B1">
      <w:r>
        <w:t>Several studies have explored the impact of genetic susceptibility and self-reported lifestyle factors</w:t>
      </w:r>
      <w:r w:rsidR="00054388">
        <w:t>, which included physical activity,</w:t>
      </w:r>
      <w:r>
        <w:t xml:space="preserve"> on cardiovascular diseases (</w:t>
      </w:r>
      <w:r w:rsidR="007F6155">
        <w:t>8</w:t>
      </w:r>
      <w:r>
        <w:t>)(</w:t>
      </w:r>
      <w:r w:rsidR="007F6155">
        <w:t>1</w:t>
      </w:r>
      <w:r w:rsidR="00A52666">
        <w:t>6</w:t>
      </w:r>
      <w:r>
        <w:t>)(</w:t>
      </w:r>
      <w:r w:rsidR="006C7976">
        <w:t>1</w:t>
      </w:r>
      <w:r w:rsidR="00A52666">
        <w:t>7</w:t>
      </w:r>
      <w:r>
        <w:t>)</w:t>
      </w:r>
      <w:r w:rsidR="00054388">
        <w:t>(</w:t>
      </w:r>
      <w:r w:rsidR="006C7976">
        <w:t>1</w:t>
      </w:r>
      <w:r w:rsidR="00A52666">
        <w:t>8</w:t>
      </w:r>
      <w:r w:rsidR="00054388">
        <w:t>)(</w:t>
      </w:r>
      <w:r w:rsidR="006C7976">
        <w:t>1</w:t>
      </w:r>
      <w:r w:rsidR="00A52666">
        <w:t>9</w:t>
      </w:r>
      <w:r w:rsidR="00054388">
        <w:t>)(</w:t>
      </w:r>
      <w:r w:rsidR="00A52666">
        <w:t>20</w:t>
      </w:r>
      <w:r w:rsidR="00054388">
        <w:t>)</w:t>
      </w:r>
      <w:r>
        <w:t xml:space="preserve">. </w:t>
      </w:r>
      <w:r w:rsidR="00054388">
        <w:t xml:space="preserve">Each </w:t>
      </w:r>
      <w:r w:rsidR="00A17E1C">
        <w:t>study</w:t>
      </w:r>
      <w:r w:rsidR="00054388">
        <w:t xml:space="preserve"> found that genetic risk and physical activity had independent associations with cardiovascular disease and </w:t>
      </w:r>
      <w:r w:rsidR="006C7976">
        <w:t>jointly produced</w:t>
      </w:r>
      <w:r w:rsidR="00054388">
        <w:t xml:space="preserve"> </w:t>
      </w:r>
      <w:r w:rsidR="00EC64B1">
        <w:t xml:space="preserve">an </w:t>
      </w:r>
      <w:r w:rsidR="00054388">
        <w:t>even greater overall risk.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54388">
        <w:t>split into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 xml:space="preserve">risk </w:t>
      </w:r>
      <w:r w:rsidR="00EC64B1">
        <w:t>(</w:t>
      </w:r>
      <w:r w:rsidR="002A54EB">
        <w:t>4)</w:t>
      </w:r>
      <w:r w:rsidR="00A52666">
        <w:t>(21</w:t>
      </w:r>
      <w:r w:rsidR="00EC64B1">
        <w:t>)</w:t>
      </w:r>
      <w:r w:rsidR="00CB27DB">
        <w:t>.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also could not</w:t>
      </w:r>
      <w:r w:rsidR="006C7976" w:rsidRPr="006C7976">
        <w:t xml:space="preserve"> distinguish </w:t>
      </w:r>
      <w:r w:rsidR="00CB27DB">
        <w:t>their relative importance</w:t>
      </w:r>
      <w:r w:rsidR="006C7976" w:rsidRPr="006C7976">
        <w:t xml:space="preserve"> </w:t>
      </w:r>
      <w:r w:rsidR="002A54EB">
        <w:t>(9)</w:t>
      </w:r>
      <w:r w:rsidR="006C7976" w:rsidRPr="006C7976">
        <w:t>.</w:t>
      </w:r>
    </w:p>
    <w:p w14:paraId="034B128C" w14:textId="357F378E" w:rsidR="00054388" w:rsidRDefault="00EC64B1" w:rsidP="00EC64B1">
      <w:r>
        <w:t>More significantly,</w:t>
      </w:r>
      <w:r w:rsidR="00054388">
        <w:t xml:space="preserve"> </w:t>
      </w:r>
      <w:r>
        <w:t>this subjective measure</w:t>
      </w:r>
      <w:r w:rsidR="00054388">
        <w:t xml:space="preserve"> of physical activity has several limitations</w:t>
      </w:r>
      <w:r>
        <w:t>. In doubly labeled water studies, the gold standard to assess physical activity energy expenditure</w:t>
      </w:r>
      <w:r w:rsidR="00C92B9C">
        <w:t xml:space="preserve"> (PAEE)</w:t>
      </w:r>
      <w:r>
        <w:t>, questionnaire-assessed physical activity demonstrated a far weaker</w:t>
      </w:r>
      <w:r w:rsidR="00054388">
        <w:t xml:space="preserve"> correlation with </w:t>
      </w:r>
      <w:r w:rsidR="00C92B9C">
        <w:t xml:space="preserve">PAEE </w:t>
      </w:r>
      <w:r>
        <w:t xml:space="preserve">than objective measures </w:t>
      </w:r>
      <w:r w:rsidR="002A54EB">
        <w:t xml:space="preserve">do </w:t>
      </w:r>
      <w:r w:rsidR="00054388">
        <w:t>(</w:t>
      </w:r>
      <w:r w:rsidR="00FD3B7E">
        <w:t>2</w:t>
      </w:r>
      <w:r w:rsidR="00A52666">
        <w:t>2</w:t>
      </w:r>
      <w:r w:rsidR="00054388">
        <w:t>)(</w:t>
      </w:r>
      <w:r w:rsidR="00FD3B7E">
        <w:t>2</w:t>
      </w:r>
      <w:r w:rsidR="00A52666">
        <w:t>3</w:t>
      </w:r>
      <w:r w:rsidR="00054388">
        <w:t>)</w:t>
      </w:r>
      <w:r>
        <w:t xml:space="preserve">. This method also does not account </w:t>
      </w:r>
      <w:r w:rsidR="00054388">
        <w:t xml:space="preserve">for </w:t>
      </w:r>
      <w:r>
        <w:t xml:space="preserve">incidental </w:t>
      </w:r>
      <w:r w:rsidR="00054388">
        <w:t>physical activity throughout the day</w:t>
      </w:r>
      <w:r>
        <w:t xml:space="preserve"> and administering longer questionnaires to provide a more holistic view of an individual’s daily physical activity result</w:t>
      </w:r>
      <w:r w:rsidR="00C92B9C">
        <w:t>s</w:t>
      </w:r>
      <w:r>
        <w:t xml:space="preserve"> in higher levels of misclassification</w:t>
      </w:r>
      <w:r w:rsidR="00FD3B7E">
        <w:t xml:space="preserve"> (2</w:t>
      </w:r>
      <w:r w:rsidR="00A52666">
        <w:t>4</w:t>
      </w:r>
      <w:r w:rsidR="00FD3B7E">
        <w:t>)(2</w:t>
      </w:r>
      <w:r w:rsidR="00A52666">
        <w:t>5</w:t>
      </w:r>
      <w:r w:rsidR="00FD3B7E">
        <w:t>)</w:t>
      </w:r>
      <w:r>
        <w:t xml:space="preserve">. Even with the help of a trained professional, questionnaire-based techniques still suffer from </w:t>
      </w:r>
      <w:r w:rsidR="00054388">
        <w:t>recall and social desirability bias</w:t>
      </w:r>
      <w:r>
        <w:t xml:space="preserve"> and</w:t>
      </w:r>
      <w:r w:rsidR="00054388">
        <w:t xml:space="preserve"> perform differentially well in people of different </w:t>
      </w:r>
      <w:r w:rsidR="00C92B9C">
        <w:t>sociodemographic</w:t>
      </w:r>
      <w:r w:rsidR="00054388">
        <w:t xml:space="preserve"> backgrounds</w:t>
      </w:r>
      <w:r w:rsidR="00FD3B7E">
        <w:t xml:space="preserve"> (2</w:t>
      </w:r>
      <w:r w:rsidR="00A52666">
        <w:t>6</w:t>
      </w:r>
      <w:r w:rsidR="00FD3B7E">
        <w:t>)</w:t>
      </w:r>
      <w:r w:rsidR="00054388">
        <w:t>.</w:t>
      </w:r>
      <w:r>
        <w:t xml:space="preserve"> </w:t>
      </w:r>
      <w:r w:rsidR="00B3136F">
        <w:t>These many potential sources of bias may obscure the relationship between physical activity, genetic risk, and incident CAD.</w:t>
      </w:r>
    </w:p>
    <w:p w14:paraId="52B95B07" w14:textId="79A798A4" w:rsidR="00D73488" w:rsidRDefault="00EC64B1">
      <w:r>
        <w:t xml:space="preserve">This study </w:t>
      </w:r>
      <w:r w:rsidR="00AE07D7">
        <w:t>primarily aim</w:t>
      </w:r>
      <w:r w:rsidR="00A52666">
        <w:t>ed</w:t>
      </w:r>
      <w:r>
        <w:t xml:space="preserve"> to evaluate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rsidR="00987FCB">
        <w:t xml:space="preserve"> (</w:t>
      </w:r>
      <w:r w:rsidR="00E30099">
        <w:t>2</w:t>
      </w:r>
      <w:r w:rsidR="00A52666">
        <w:t>7</w:t>
      </w:r>
      <w:r w:rsidR="00987FCB">
        <w:t>)</w:t>
      </w:r>
      <w:r>
        <w:t xml:space="preserve">. </w:t>
      </w:r>
      <w:r w:rsidR="00987FCB">
        <w:t xml:space="preserve">We </w:t>
      </w:r>
      <w:r w:rsidR="00A52666">
        <w:t>utilized</w:t>
      </w:r>
      <w:r w:rsidR="00987FCB">
        <w:t xml:space="preserve"> the best performing polygenic </w:t>
      </w:r>
      <w:r w:rsidR="004373E4">
        <w:t xml:space="preserve">risk </w:t>
      </w:r>
      <w:r w:rsidR="00987FCB">
        <w:t>score to date, which allow</w:t>
      </w:r>
      <w:r w:rsidR="00A52666">
        <w:t>ed</w:t>
      </w:r>
      <w:r w:rsidR="00987FCB">
        <w:t xml:space="preserve"> </w:t>
      </w:r>
      <w:r w:rsidR="00A52666">
        <w:t>for more precise genetic risk stratification</w:t>
      </w:r>
      <w:r w:rsidR="00987FCB">
        <w:t xml:space="preserve"> than in previous </w:t>
      </w:r>
      <w:r w:rsidR="00A94340">
        <w:t>efforts</w:t>
      </w:r>
      <w:r w:rsidR="00987FCB">
        <w:t>. Secondarily, we explore whether a gene-environment interaction exists between physical activity volume and intensity and genetic risk.</w:t>
      </w:r>
    </w:p>
    <w:p w14:paraId="6A6502CD" w14:textId="3C17F3FE" w:rsidR="00987FCB" w:rsidRDefault="00987FCB">
      <w:pPr>
        <w:rPr>
          <w:b/>
          <w:bCs/>
        </w:rPr>
      </w:pPr>
      <w:r w:rsidRPr="00987FCB">
        <w:rPr>
          <w:b/>
          <w:bCs/>
        </w:rPr>
        <w:lastRenderedPageBreak/>
        <w:t>METHODS</w:t>
      </w:r>
    </w:p>
    <w:p w14:paraId="2670817F" w14:textId="03C05867" w:rsidR="0037734A" w:rsidRDefault="0037734A">
      <w:pPr>
        <w:rPr>
          <w:i/>
          <w:iCs/>
        </w:rPr>
      </w:pPr>
      <w:r w:rsidRPr="0037734A">
        <w:rPr>
          <w:i/>
          <w:iCs/>
        </w:rPr>
        <w:t>Study Sample</w:t>
      </w:r>
    </w:p>
    <w:p w14:paraId="050C1BA6" w14:textId="77EE15FF" w:rsidR="00D81937" w:rsidRPr="0037734A" w:rsidRDefault="00D81937">
      <w:pPr>
        <w:rPr>
          <w:i/>
          <w:iCs/>
        </w:rPr>
      </w:pPr>
      <w:r>
        <w:rPr>
          <w:i/>
          <w:iCs/>
        </w:rPr>
        <w:t>Accelerometer Cohort</w:t>
      </w:r>
    </w:p>
    <w:p w14:paraId="498B4FEC" w14:textId="46395C2A" w:rsidR="00214C36" w:rsidRPr="00214C36" w:rsidRDefault="0037734A" w:rsidP="00214C36">
      <w:r w:rsidRPr="00E67688">
        <w:t xml:space="preserve">We used the UK Biobank (application # 79654), a population-based cohort of over 500,000 individuals from England, Scotland, and Wales who were aged 40-69 at recruitment between 2006 and 2010. </w:t>
      </w:r>
      <w:r w:rsidR="00DC3158" w:rsidRPr="003C240D">
        <w:t xml:space="preserve">Follow up time was censored </w:t>
      </w:r>
      <w:proofErr w:type="gramStart"/>
      <w:r w:rsidR="00DC3158" w:rsidRPr="003C240D">
        <w:t>at</w:t>
      </w:r>
      <w:proofErr w:type="gramEnd"/>
      <w:r w:rsidR="00DC3158" w:rsidRPr="003C240D">
        <w:t xml:space="preserve"> March 31</w:t>
      </w:r>
      <w:r w:rsidR="00DC3158" w:rsidRPr="003C240D">
        <w:rPr>
          <w:vertAlign w:val="superscript"/>
        </w:rPr>
        <w:t>st</w:t>
      </w:r>
      <w:r w:rsidR="00DC3158" w:rsidRPr="003C240D">
        <w:t xml:space="preserve">, 2016 in Wales, </w:t>
      </w:r>
      <w:r w:rsidR="003C240D" w:rsidRPr="003C240D">
        <w:t>September 30</w:t>
      </w:r>
      <w:r w:rsidR="003C240D" w:rsidRPr="003C240D">
        <w:rPr>
          <w:vertAlign w:val="superscript"/>
        </w:rPr>
        <w:t>th</w:t>
      </w:r>
      <w:commentRangeStart w:id="4"/>
      <w:commentRangeStart w:id="5"/>
      <w:commentRangeStart w:id="6"/>
      <w:r w:rsidR="00DC3158" w:rsidRPr="003C240D">
        <w:t>, 202</w:t>
      </w:r>
      <w:r w:rsidR="003C240D" w:rsidRPr="003C240D">
        <w:t>1</w:t>
      </w:r>
      <w:r w:rsidR="00DC3158" w:rsidRPr="003C240D">
        <w:t xml:space="preserve"> </w:t>
      </w:r>
      <w:commentRangeEnd w:id="4"/>
      <w:r w:rsidR="004941D7" w:rsidRPr="003C240D">
        <w:rPr>
          <w:rStyle w:val="CommentReference"/>
        </w:rPr>
        <w:commentReference w:id="4"/>
      </w:r>
      <w:commentRangeEnd w:id="5"/>
      <w:r w:rsidR="00E361A7" w:rsidRPr="003C240D">
        <w:rPr>
          <w:rStyle w:val="CommentReference"/>
        </w:rPr>
        <w:commentReference w:id="5"/>
      </w:r>
      <w:commentRangeEnd w:id="6"/>
      <w:r w:rsidR="00E361A7" w:rsidRPr="003C240D">
        <w:rPr>
          <w:rStyle w:val="CommentReference"/>
        </w:rPr>
        <w:commentReference w:id="6"/>
      </w:r>
      <w:r w:rsidR="00DC3158" w:rsidRPr="003C240D">
        <w:t xml:space="preserve">in England, and July 31, 2021 in Scotland for hospital inpatient records. </w:t>
      </w:r>
      <w:r w:rsidRPr="003C240D">
        <w:t>This</w:t>
      </w:r>
      <w:r w:rsidRPr="00E67688">
        <w:t xml:space="preserve"> dataset contains in-depth information on </w:t>
      </w:r>
      <w:r w:rsidR="00F801BB" w:rsidRPr="00E67688">
        <w:t>genetics</w:t>
      </w:r>
      <w:r w:rsidRPr="00E67688">
        <w:t xml:space="preserve">, </w:t>
      </w:r>
      <w:r w:rsidR="00F801BB" w:rsidRPr="00E67688">
        <w:t>health behaviors, socioeconomic status, and health status</w:t>
      </w:r>
      <w:r w:rsidRPr="00E67688">
        <w:t xml:space="preserve"> and has been described in detail elsewhere (</w:t>
      </w:r>
      <w:r w:rsidR="00D303DA">
        <w:t>27</w:t>
      </w:r>
      <w:r w:rsidRPr="00E67688">
        <w:t>).</w:t>
      </w:r>
      <w:r>
        <w:t xml:space="preserve"> Between 2013 and 2015, a subsample of 103,712 individuals responded to an email recruiting them to wear a </w:t>
      </w:r>
      <w:proofErr w:type="gramStart"/>
      <w:r>
        <w:t>wrist-worn</w:t>
      </w:r>
      <w:proofErr w:type="gramEnd"/>
      <w:r>
        <w:t xml:space="preserve">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(over 100 </w:t>
      </w:r>
      <w:r w:rsidR="00D303DA">
        <w:t>milligravities</w:t>
      </w:r>
      <w:r w:rsidR="00214C36">
        <w:t xml:space="preserve">), had wear time under three days, or did not have </w:t>
      </w:r>
      <w:r w:rsidR="00E74A2D">
        <w:t xml:space="preserve">24 </w:t>
      </w:r>
      <w:r w:rsidR="00214C36">
        <w:t>unique hours of wear in a 24-hour cycle (</w:t>
      </w:r>
      <w:r w:rsidR="00D303DA">
        <w:t>28</w:t>
      </w:r>
      <w:r w:rsidR="00214C36">
        <w:t>)(</w:t>
      </w:r>
      <w:r w:rsidR="00D303DA">
        <w:t>29</w:t>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1AD567A9" w:rsidR="001B16EE" w:rsidRDefault="00D63A6A">
      <w:r>
        <w:t xml:space="preserve">Participants in the UK Biobank were genotyped using either the UK </w:t>
      </w:r>
      <w:proofErr w:type="spellStart"/>
      <w:r>
        <w:t>BiLEVE</w:t>
      </w:r>
      <w:proofErr w:type="spellEnd"/>
      <w:r>
        <w:t xml:space="preserve"> Axiom Array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which yielded roughly 96 million total variants either </w:t>
      </w:r>
      <w:r w:rsidR="001B16EE">
        <w:t>directly identified or imputed (</w:t>
      </w:r>
      <w:r w:rsidR="00EE3DF0" w:rsidRPr="00EE3DF0">
        <w:t>30</w:t>
      </w:r>
      <w:r w:rsidR="001B16EE">
        <w:t xml:space="preserve">). Following the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those with a mismatch between genetic and reported biological sex, </w:t>
      </w:r>
      <w:r w:rsidR="00A27C69">
        <w:t xml:space="preserve">sexual aneuploidy, </w:t>
      </w:r>
      <w:r w:rsidR="001B16EE">
        <w:t xml:space="preserve">outliers for missingness or heterozygosity, and limited the dataset to the </w:t>
      </w:r>
      <w:r w:rsidR="005A55CB">
        <w:t>maximal</w:t>
      </w:r>
      <w:r w:rsidR="001B16EE">
        <w:t xml:space="preserve"> set of individuals not related by third degree or closer</w:t>
      </w:r>
      <w:r w:rsidR="00A27C69">
        <w:t xml:space="preserve"> (</w:t>
      </w:r>
      <w:r w:rsidR="00EE3DF0">
        <w:t>31</w:t>
      </w:r>
      <w:r w:rsidR="00A27C69">
        <w:t>)</w:t>
      </w:r>
      <w:r w:rsidR="001B16EE">
        <w:t xml:space="preserve">. We also split the dataset by ancestry, with those of White British ancestry serving as the sample for the primary analyses and Black or Asian ancestry individuals for exploratory analyses in </w:t>
      </w:r>
      <w:proofErr w:type="spellStart"/>
      <w:r w:rsidR="00235338" w:rsidRPr="00DF2353">
        <w:rPr>
          <w:b/>
          <w:bCs/>
        </w:rPr>
        <w:t>e</w:t>
      </w:r>
      <w:r w:rsidR="009F3263" w:rsidRPr="00DF2353">
        <w:rPr>
          <w:b/>
          <w:bCs/>
        </w:rPr>
        <w:t>Figure</w:t>
      </w:r>
      <w:proofErr w:type="spellEnd"/>
      <w:r w:rsidR="009F3263" w:rsidRPr="00DF2353">
        <w:rPr>
          <w:b/>
          <w:bCs/>
        </w:rPr>
        <w:t xml:space="preserve"> 1</w:t>
      </w:r>
      <w:r w:rsidR="001B16EE">
        <w:t>.</w:t>
      </w:r>
    </w:p>
    <w:p w14:paraId="6E265F59" w14:textId="0CD33D30" w:rsidR="00214C36" w:rsidRDefault="00214C36">
      <w:pPr>
        <w:rPr>
          <w:i/>
          <w:iCs/>
        </w:rPr>
      </w:pPr>
      <w:r w:rsidRPr="00214C36">
        <w:rPr>
          <w:i/>
          <w:iCs/>
        </w:rPr>
        <w:t>Polygenic Score</w:t>
      </w:r>
    </w:p>
    <w:p w14:paraId="1EDF1722" w14:textId="4FECD88B" w:rsidR="00A27C69" w:rsidRPr="00A27C69" w:rsidRDefault="0037091B">
      <w:r>
        <w:t>We appl</w:t>
      </w:r>
      <w:r w:rsidR="00EE3DF0">
        <w:t>ied</w:t>
      </w:r>
      <w:r>
        <w:t xml:space="preserve"> the most recent and predictive polygenic risk score available for CAD, which was tested but not trained on UK Biobank data (</w:t>
      </w:r>
      <w:r w:rsidR="00EE3DF0">
        <w:t>32</w:t>
      </w:r>
      <w:r>
        <w:t xml:space="preserve">). Briefly, this score was derived by obtaining weights from the largest European-ancestry focused GWAS that excluded the UK Biobank and used PRS-CS, a polygenic risk score prediction method that utilizes a Bayesian framework and continuous shrinkage that is robust to varying genetic architecture and has shown advantages in the prediction of CAD over more traditional methods. We </w:t>
      </w:r>
      <w:r w:rsidR="00BC4207">
        <w:t>screen out multi-allelic SNPs, restrict to only SNPs with an INFO score, a measure of imputation quality, of greater than 0.6, and restrict minor allele frequency to at least 0.01, which yields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 (</w:t>
      </w:r>
      <w:r w:rsidR="00EE3DF0">
        <w:t>33</w:t>
      </w:r>
      <w:r w:rsidR="00BC4207">
        <w:t xml:space="preserve">). </w:t>
      </w:r>
      <w:r w:rsidR="00EE3DF0">
        <w:t>Finally, we transformed</w:t>
      </w:r>
      <w:r w:rsidR="00131846">
        <w:t xml:space="preserve"> the score into zero mean and unit variance for ease of interpretation.</w:t>
      </w:r>
    </w:p>
    <w:p w14:paraId="6B21C50B" w14:textId="3C5C3E44" w:rsidR="00214C36" w:rsidRPr="00214C36" w:rsidRDefault="00214C36">
      <w:pPr>
        <w:rPr>
          <w:i/>
          <w:iCs/>
        </w:rPr>
      </w:pPr>
      <w:r w:rsidRPr="00214C36">
        <w:rPr>
          <w:i/>
          <w:iCs/>
        </w:rPr>
        <w:t>Physical Activity Measures</w:t>
      </w:r>
    </w:p>
    <w:p w14:paraId="44600EB5" w14:textId="145BCCD1" w:rsidR="00E60292" w:rsidRDefault="00214C36">
      <w:r>
        <w:t xml:space="preserve">Previous researchers have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 xml:space="preserve">and imputing non-wear time data </w:t>
      </w:r>
      <w:r>
        <w:lastRenderedPageBreak/>
        <w:t>segments to calculate the Euclidean norm minus one (ENMO) (</w:t>
      </w:r>
      <w:r w:rsidR="00EE3DF0">
        <w:t>28</w:t>
      </w:r>
      <w:r>
        <w:t>)</w:t>
      </w:r>
      <w:r w:rsidR="00DD54B5">
        <w:t>(</w:t>
      </w:r>
      <w:r w:rsidR="00EE3DF0">
        <w:t>34</w:t>
      </w:r>
      <w:r w:rsidR="00DD54B5">
        <w:t>)</w:t>
      </w:r>
      <w:r>
        <w:t xml:space="preserve">. The average ENMO was summarized as an average proportion of daily time spent at different categories of intensity measured in milligravities (mgs) based on measurements taken every 5 seconds. Following the work of Dempsey </w:t>
      </w:r>
      <w:r w:rsidRPr="00214C36">
        <w:rPr>
          <w:i/>
          <w:iCs/>
        </w:rPr>
        <w:t>et al</w:t>
      </w:r>
      <w:r>
        <w:t>., w</w:t>
      </w:r>
      <w:r w:rsidR="005C3A9D">
        <w:t>e use</w:t>
      </w:r>
      <w:r w:rsidR="00AB5786">
        <w:t>d</w:t>
      </w:r>
      <w:r w:rsidR="005C3A9D">
        <w:t xml:space="preserve"> a formula 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proofErr w:type="gramStart"/>
      <w:r w:rsidR="00F92730">
        <w:t>)</w:t>
      </w:r>
      <w:r w:rsidR="00EE3DF0">
        <w:t>(</w:t>
      </w:r>
      <w:proofErr w:type="gramEnd"/>
      <w:r w:rsidR="00EE3DF0">
        <w:t>9)</w:t>
      </w:r>
      <w:r w:rsidR="00493771">
        <w:t xml:space="preserve">. This measure </w:t>
      </w:r>
      <w:r w:rsidR="005C3A9D">
        <w:t>has been validated in free-living populations by both doubly labeled water and a combined heart rate monitor and trunk acceleration, the gold and silver standards of physical activity energy expenditure measurement, respectively (</w:t>
      </w:r>
      <w:proofErr w:type="gramStart"/>
      <w:r w:rsidR="00EE3DF0">
        <w:t>35</w:t>
      </w:r>
      <w:r w:rsidR="005C3A9D">
        <w:t>)(</w:t>
      </w:r>
      <w:commentRangeStart w:id="7"/>
      <w:proofErr w:type="gramEnd"/>
      <w:r w:rsidR="00EE3DF0">
        <w:t>36</w:t>
      </w:r>
      <w:commentRangeEnd w:id="7"/>
      <w:r w:rsidR="00EE3DF0">
        <w:rPr>
          <w:rStyle w:val="CommentReference"/>
        </w:rPr>
        <w:commentReference w:id="7"/>
      </w:r>
      <w:r w:rsidR="005C3A9D">
        <w:t>)</w:t>
      </w:r>
      <w:r w:rsidR="00FF075C">
        <w:t>(</w:t>
      </w:r>
      <w:r w:rsidR="00FF075C" w:rsidRPr="0081329F">
        <w:t>37</w:t>
      </w:r>
      <w:r w:rsidR="00FF075C">
        <w:t>)</w:t>
      </w:r>
      <w:r w:rsidR="005C3A9D">
        <w:t>.</w:t>
      </w:r>
      <w:r>
        <w:t xml:space="preserve"> </w:t>
      </w:r>
      <w:r w:rsidR="00493771">
        <w:t>Overall</w:t>
      </w:r>
      <w:r w:rsidR="00E60292">
        <w:t xml:space="preserve"> PAEE serves as our measure of total physical activity volume in kJ/kg/day</w:t>
      </w:r>
      <w:r w:rsidR="00FD77D9">
        <w:t xml:space="preserve"> with the formula used in </w:t>
      </w:r>
      <w:proofErr w:type="spellStart"/>
      <w:r w:rsidR="00FD77D9" w:rsidRPr="00DF2353">
        <w:rPr>
          <w:b/>
          <w:bCs/>
        </w:rPr>
        <w:t>eTable</w:t>
      </w:r>
      <w:proofErr w:type="spellEnd"/>
      <w:r w:rsidR="00FD77D9" w:rsidRPr="00DF2353">
        <w:rPr>
          <w:b/>
          <w:bCs/>
        </w:rPr>
        <w:t xml:space="preserve"> 1</w:t>
      </w:r>
      <w:r w:rsidR="00E60292">
        <w:t xml:space="preserve">. </w:t>
      </w:r>
      <w:proofErr w:type="gramStart"/>
      <w:r w:rsidR="00E60292">
        <w:t>In order to</w:t>
      </w:r>
      <w:proofErr w:type="gramEnd"/>
      <w:r w:rsidR="00E60292">
        <w:t xml:space="preserve"> calculate physical activity intensity, we </w:t>
      </w:r>
      <w:r w:rsidR="00493771">
        <w:t>categorize</w:t>
      </w:r>
      <w:r w:rsidR="00AB5786">
        <w:t>d</w:t>
      </w:r>
      <w:r w:rsidR="00E60292">
        <w:t xml:space="preserve"> all physical activity above 125 milligravities and below 400 milligravities as moderate to vigorous physical activity</w:t>
      </w:r>
      <w:r w:rsidR="00493771">
        <w:t xml:space="preserve"> (MVPA)</w:t>
      </w:r>
      <w:r w:rsidR="00E60292">
        <w:t xml:space="preserve"> and then divide</w:t>
      </w:r>
      <w:r w:rsidR="00AB5786">
        <w:t>d</w:t>
      </w:r>
      <w:r w:rsidR="00E60292">
        <w:t xml:space="preserve"> this value by the total physical activity volume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 xml:space="preserve"> (</w:t>
      </w:r>
      <w:r w:rsidR="00AB5786">
        <w:t>9</w:t>
      </w:r>
      <w:r w:rsidR="00E60292">
        <w:t>)</w:t>
      </w:r>
      <w:r w:rsidR="00E67688">
        <w:t>(</w:t>
      </w:r>
      <w:r w:rsidR="00AB5786">
        <w:t>3</w:t>
      </w:r>
      <w:r w:rsidR="0081329F">
        <w:t>8</w:t>
      </w:r>
      <w:r w:rsidR="00E67688">
        <w:t>)(</w:t>
      </w:r>
      <w:r w:rsidR="00AB5786">
        <w:t>35</w:t>
      </w:r>
      <w:r w:rsidR="00E67688">
        <w:t>)</w:t>
      </w:r>
      <w:r w:rsidR="00E60292">
        <w:t>.</w:t>
      </w:r>
    </w:p>
    <w:p w14:paraId="7FAB2025" w14:textId="2D4F21C7" w:rsidR="00F92730" w:rsidRDefault="00D63A6A">
      <w:pPr>
        <w:rPr>
          <w:i/>
          <w:iCs/>
        </w:rPr>
      </w:pPr>
      <w:r w:rsidRPr="00D63A6A">
        <w:rPr>
          <w:i/>
          <w:iCs/>
        </w:rPr>
        <w:t xml:space="preserve">Outcome </w:t>
      </w:r>
      <w:commentRangeStart w:id="8"/>
      <w:r w:rsidRPr="00D63A6A">
        <w:rPr>
          <w:i/>
          <w:iCs/>
        </w:rPr>
        <w:t>Definition</w:t>
      </w:r>
      <w:commentRangeEnd w:id="8"/>
      <w:r w:rsidR="00C270C7">
        <w:rPr>
          <w:rStyle w:val="CommentReference"/>
        </w:rPr>
        <w:commentReference w:id="8"/>
      </w:r>
    </w:p>
    <w:p w14:paraId="44BF6EC3" w14:textId="7D0A6FB7" w:rsidR="001320FD" w:rsidRPr="00483287" w:rsidRDefault="001320FD">
      <w:r>
        <w:t>We define</w:t>
      </w:r>
      <w:r w:rsidR="00AA70E0">
        <w:t>d</w:t>
      </w:r>
      <w:r>
        <w:t xml:space="preserve"> CAD based on hospital inpatient episodes, surgeries, deaths, and, if none of the rest are available, by self-report.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then restrict</w:t>
      </w:r>
      <w:r w:rsidR="00AA70E0">
        <w:t>ed</w:t>
      </w:r>
      <w:r>
        <w:t xml:space="preserve"> cases to only incident CAD by excluding individuals who experienced an event prior to the start of accelerometer wear.</w:t>
      </w:r>
    </w:p>
    <w:p w14:paraId="77D16B10" w14:textId="243AA0EC" w:rsidR="00D63A6A" w:rsidRDefault="00D63A6A">
      <w:pPr>
        <w:rPr>
          <w:i/>
          <w:iCs/>
        </w:rPr>
      </w:pPr>
      <w:r>
        <w:rPr>
          <w:i/>
          <w:iCs/>
        </w:rPr>
        <w:t>Covariates</w:t>
      </w:r>
    </w:p>
    <w:p w14:paraId="6C16AF7E" w14:textId="46C86395" w:rsidR="002F653C" w:rsidRPr="007D308A" w:rsidRDefault="002B04B0">
      <w:r>
        <w:t>In several waves, p</w:t>
      </w:r>
      <w:r w:rsidR="007D308A">
        <w:t xml:space="preserve">articipants self-reported </w:t>
      </w:r>
      <w:r w:rsidR="006E2499">
        <w:t>information</w:t>
      </w:r>
      <w:r w:rsidR="007D308A">
        <w:t xml:space="preserve"> on diet, health behaviors, parental history of </w:t>
      </w:r>
      <w:r w:rsidR="006E2499">
        <w:t xml:space="preserve">heart </w:t>
      </w:r>
      <w:commentRangeStart w:id="9"/>
      <w:r w:rsidR="006E2499">
        <w:t>disease</w:t>
      </w:r>
      <w:commentRangeEnd w:id="9"/>
      <w:r w:rsidR="00C067E1">
        <w:rPr>
          <w:rStyle w:val="CommentReference"/>
        </w:rPr>
        <w:commentReference w:id="9"/>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that occurred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weekly consumption of oily fish</w:t>
      </w:r>
      <w:r w:rsidR="00F47AEA">
        <w:t xml:space="preserve"> </w:t>
      </w:r>
      <w:r w:rsidR="006E2499">
        <w:t xml:space="preserve">and processed and red meat. Educational attainment is measured as whether a person has a university degree, another kind of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 </w:t>
      </w:r>
      <w:r w:rsidR="00B77B9C">
        <w:t>denotes</w:t>
      </w:r>
      <w:r w:rsidR="006E2499">
        <w:t xml:space="preserve"> whether an individual </w:t>
      </w:r>
      <w:r w:rsidR="00B77B9C">
        <w:t>has</w:t>
      </w:r>
      <w:r w:rsidR="006E2499">
        <w:t xml:space="preserve"> mobility problems. </w:t>
      </w:r>
      <w:r w:rsidR="00FC4EAC">
        <w:t xml:space="preserve">An explanation of how we created these variables from the UK Biobank is in </w:t>
      </w:r>
      <w:proofErr w:type="spellStart"/>
      <w:r w:rsidR="00FC4EAC" w:rsidRPr="00FC4EAC">
        <w:rPr>
          <w:b/>
          <w:bCs/>
        </w:rPr>
        <w:t>eTable</w:t>
      </w:r>
      <w:proofErr w:type="spellEnd"/>
      <w:r w:rsidR="00FC4EAC" w:rsidRPr="00FC4EAC">
        <w:rPr>
          <w:b/>
          <w:bCs/>
        </w:rPr>
        <w:t xml:space="preserve"> 2</w:t>
      </w:r>
      <w:r w:rsidR="00FC4EAC">
        <w:t xml:space="preserve">. </w:t>
      </w:r>
      <w:r w:rsidR="007D308A">
        <w:t>We also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09C41A1F"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 to event as the outcome of interest</w:t>
      </w:r>
      <w:r>
        <w:t xml:space="preserve">. </w:t>
      </w:r>
      <w:r w:rsidR="009D5BCB">
        <w:t>The model stratifie</w:t>
      </w:r>
      <w:r w:rsidR="0009502B">
        <w:t>d</w:t>
      </w:r>
      <w:r w:rsidR="009D5BCB">
        <w:t xml:space="preserve"> on covariates that violate</w:t>
      </w:r>
      <w:r w:rsidR="0009502B">
        <w:t>d</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10"/>
      <w:commentRangeStart w:id="11"/>
      <w:commentRangeStart w:id="12"/>
      <w:r w:rsidR="009D5BCB">
        <w:t>test</w:t>
      </w:r>
      <w:r w:rsidR="00B958B4">
        <w:t>ed</w:t>
      </w:r>
      <w:r w:rsidR="009D5BCB">
        <w:t xml:space="preserve"> model fit </w:t>
      </w:r>
      <w:commentRangeEnd w:id="10"/>
      <w:r w:rsidR="00FB5113">
        <w:rPr>
          <w:rStyle w:val="CommentReference"/>
        </w:rPr>
        <w:commentReference w:id="10"/>
      </w:r>
      <w:commentRangeEnd w:id="11"/>
      <w:r w:rsidR="00FB5113">
        <w:rPr>
          <w:rStyle w:val="CommentReference"/>
        </w:rPr>
        <w:commentReference w:id="11"/>
      </w:r>
      <w:commentRangeEnd w:id="12"/>
      <w:r w:rsidR="00403B92">
        <w:rPr>
          <w:rStyle w:val="CommentReference"/>
        </w:rPr>
        <w:commentReference w:id="12"/>
      </w:r>
      <w:r w:rsidR="009D5BCB">
        <w:t xml:space="preserve">between the exposures entering the model linearly as opposed to as a restricted quadratic or restricted cubic spline. </w:t>
      </w:r>
      <w:r w:rsidR="00B958B4">
        <w:t xml:space="preserve">The </w:t>
      </w:r>
      <w:r w:rsidR="009D5BCB">
        <w:t xml:space="preserve">linear </w:t>
      </w:r>
      <w:r w:rsidR="009D5BCB">
        <w:lastRenderedPageBreak/>
        <w:t>model perform</w:t>
      </w:r>
      <w:r w:rsidR="00B958B4">
        <w:t>ed</w:t>
      </w:r>
      <w:r w:rsidR="009D5BCB">
        <w:t xml:space="preserve"> best for both </w:t>
      </w:r>
      <w:r w:rsidR="00B958B4">
        <w:t xml:space="preserve">physical activity </w:t>
      </w:r>
      <w:r w:rsidR="009D5BCB">
        <w:t>exposures</w:t>
      </w:r>
      <w:r w:rsidR="00B958B4">
        <w:t xml:space="preserve"> according to BIC criteria</w:t>
      </w:r>
      <w:r w:rsidR="009D5BCB">
        <w:t>. Next, a model was run</w:t>
      </w:r>
      <w:r w:rsidR="002813CB">
        <w:t xml:space="preserve"> with PAEE and the polygenic risk score as continuous exposures with only age and sex and then with the full set of covariates. </w:t>
      </w:r>
      <w:r w:rsidR="00B958B4">
        <w:t>Genetic risk and physical activity volume risk were then split into quintiles and</w:t>
      </w:r>
      <w:r w:rsidR="002813CB">
        <w:t xml:space="preserve"> hazard ratio and 95% confidence intervals </w:t>
      </w:r>
      <w:r w:rsidR="00B958B4">
        <w:t>were calculated</w:t>
      </w:r>
      <w:r w:rsidR="002813CB">
        <w:t xml:space="preserve"> with the 20</w:t>
      </w:r>
      <w:r w:rsidR="002813CB" w:rsidRPr="002813CB">
        <w:rPr>
          <w:vertAlign w:val="superscript"/>
        </w:rPr>
        <w:t>th</w:t>
      </w:r>
      <w:r w:rsidR="002813CB">
        <w:t xml:space="preserve"> percentile of risk (lowest) in both serving as the reference group. We </w:t>
      </w:r>
      <w:r w:rsidR="00B958B4">
        <w:t>then</w:t>
      </w:r>
      <w:r w:rsidR="002813CB">
        <w:t xml:space="preserv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set of covariates. We then repeat</w:t>
      </w:r>
      <w:r w:rsidR="00B958B4">
        <w:t>ed</w:t>
      </w:r>
      <w:r w:rsidR="009D5BCB">
        <w:t xml:space="preserve"> the quintile-based analysis </w:t>
      </w:r>
      <w:r w:rsidR="0048555F">
        <w:t xml:space="preserve">using percent MVPA and adjusted </w:t>
      </w:r>
      <w:r w:rsidR="009D5BCB">
        <w:t xml:space="preserve">for PAEE. We </w:t>
      </w:r>
      <w:r w:rsidR="00B958B4">
        <w:t>conducted sensitivity</w:t>
      </w:r>
      <w:r w:rsidR="009D5BCB">
        <w:t xml:space="preserve"> analyses excluding cases that occurred within the first year of accelerometer wear to minimize the potential for reverse causation.</w:t>
      </w:r>
      <w:r w:rsidR="002956B2" w:rsidRPr="002956B2">
        <w:t xml:space="preserve"> </w:t>
      </w:r>
      <w:r w:rsidR="002956B2">
        <w:t>In additional sensitivity analyses, we explored the impact of measured body mass index, average sleep duration, and cholesterol and blood pressure medication, all potential mediators, as well as manual labor conducted for one’s occupation on the results. We relied on complete case analysis but imputed via multivariate imputation by chained equations as a sensitivity analysis.</w:t>
      </w:r>
    </w:p>
    <w:p w14:paraId="749791BC" w14:textId="03B04368" w:rsidR="006176F5" w:rsidRDefault="009D5BCB">
      <w:r>
        <w:t>Lastly, we explore</w:t>
      </w:r>
      <w:r w:rsidR="00B958B4">
        <w:t>d</w:t>
      </w:r>
      <w:r>
        <w:t xml:space="preserve"> the possibility that genetic risk and physical activity volume and intensity interact to produce a higher risk of incident CAD by fitting interaction terms between the PA exposures and the polygenic risk score.</w:t>
      </w:r>
      <w:r w:rsidR="00A2734A">
        <w:t xml:space="preserve"> All analyses were performed using R 4.1.3</w:t>
      </w:r>
      <w:r w:rsidR="00AF1E75">
        <w:t xml:space="preserve"> (3</w:t>
      </w:r>
      <w:r w:rsidR="0081329F">
        <w:t>9</w:t>
      </w:r>
      <w:r w:rsidR="00AF1E75">
        <w:t>)</w:t>
      </w:r>
      <w:r w:rsidR="00A2734A">
        <w:t>.</w:t>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13"/>
      <w:r w:rsidRPr="009D5BCB">
        <w:rPr>
          <w:b/>
          <w:bCs/>
        </w:rPr>
        <w:t>RESULTS</w:t>
      </w:r>
      <w:commentRangeEnd w:id="13"/>
      <w:r w:rsidR="009A7DCC">
        <w:rPr>
          <w:rStyle w:val="CommentReference"/>
        </w:rPr>
        <w:commentReference w:id="13"/>
      </w:r>
    </w:p>
    <w:p w14:paraId="4FEB3472" w14:textId="73F0A159" w:rsidR="00FB42C9" w:rsidRPr="00FB42C9" w:rsidRDefault="00FB42C9" w:rsidP="00BE16A0">
      <w:pPr>
        <w:rPr>
          <w:i/>
          <w:iCs/>
        </w:rPr>
      </w:pPr>
      <w:r w:rsidRPr="00FB42C9">
        <w:rPr>
          <w:i/>
          <w:iCs/>
        </w:rPr>
        <w:t>Population Characteristics</w:t>
      </w:r>
    </w:p>
    <w:p w14:paraId="1C8C6588" w14:textId="065D8E29" w:rsidR="00BE16A0" w:rsidRPr="00BE16A0" w:rsidRDefault="00A16861" w:rsidP="00BE16A0">
      <w:r>
        <w:t>After screening individuals for valid accelerometer wear data, 96,660 participants remained in the study. A further 17,206 participants were excluded who did not meet the genetic quality control criteria</w:t>
      </w:r>
      <w:r w:rsidR="002E0623">
        <w:t xml:space="preserve">. </w:t>
      </w:r>
      <w:r w:rsidR="007851EF">
        <w:t>1,587</w:t>
      </w:r>
      <w:r w:rsidR="002E0623">
        <w:t xml:space="preserve"> participants were excluded who had missing covariate data</w:t>
      </w:r>
      <w:r>
        <w:t xml:space="preserve">, </w:t>
      </w:r>
      <w:r w:rsidR="002E0623">
        <w:t xml:space="preserve">and </w:t>
      </w:r>
      <w:r w:rsidR="007851EF">
        <w:t>1,980</w:t>
      </w:r>
      <w:r w:rsidR="002E0623">
        <w:t xml:space="preserve"> who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since accelerometer wear began was 6.8 years with a total of </w:t>
      </w:r>
      <w:r w:rsidR="004414F9">
        <w:t>430,160</w:t>
      </w:r>
      <w:r>
        <w:t xml:space="preserve"> cumulative person-years and 1,</w:t>
      </w:r>
      <w:r w:rsidR="00AB61F1">
        <w:t>368</w:t>
      </w:r>
      <w:r>
        <w:t xml:space="preserve"> </w:t>
      </w:r>
      <w:r w:rsidR="002E0623">
        <w:t>incident</w:t>
      </w:r>
      <w:r w:rsidR="00B61641">
        <w:t xml:space="preserve"> CAD</w:t>
      </w:r>
      <w:r w:rsidR="002E0623">
        <w:t xml:space="preserve"> cases occurred</w:t>
      </w:r>
      <w:r>
        <w:t>. The average age at baseline was 62</w:t>
      </w:r>
      <w:r w:rsidR="004414F9">
        <w:t>.5</w:t>
      </w:r>
      <w:r>
        <w:t xml:space="preserve"> years old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 demonstrating the relative health and high socioeconomic status of </w:t>
      </w:r>
      <w:r w:rsidR="00B61641">
        <w:t xml:space="preserve">UK Biobank participants </w:t>
      </w:r>
      <w:r w:rsidR="00547D4C">
        <w:t>(</w:t>
      </w:r>
      <w:r w:rsidR="0081329F">
        <w:t>40</w:t>
      </w:r>
      <w:r w:rsidR="00547D4C">
        <w:t xml:space="preserve">). </w:t>
      </w:r>
      <w:r w:rsidR="006E3E77">
        <w:t xml:space="preserve">The quintiles of PAEE, % MVPA, and the polygenic score are available in </w:t>
      </w:r>
      <w:proofErr w:type="spellStart"/>
      <w:r w:rsidR="006E3E77" w:rsidRPr="008D6B4A">
        <w:rPr>
          <w:b/>
          <w:bCs/>
        </w:rPr>
        <w:t>eTable</w:t>
      </w:r>
      <w:proofErr w:type="spellEnd"/>
      <w:r w:rsidR="006E3E77" w:rsidRPr="008D6B4A">
        <w:rPr>
          <w:b/>
          <w:bCs/>
        </w:rPr>
        <w:t xml:space="preserve"> </w:t>
      </w:r>
      <w:r w:rsidR="008D6B4A" w:rsidRPr="008D6B4A">
        <w:rPr>
          <w:b/>
          <w:bCs/>
        </w:rPr>
        <w:t>3</w:t>
      </w:r>
      <w:r w:rsidR="006E3E77">
        <w:t>.</w:t>
      </w:r>
      <w:r w:rsidR="009F3548">
        <w:t xml:space="preserve"> Model 1 refers to the fully adjusted model and model 0 refers to the model adjusted only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59BCBCE3"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As expected, this effect is even stronger than in previous studies on CAD, genetic risk, and lifestyle (Said)(Khera</w:t>
      </w:r>
      <w:r w:rsidRPr="00B07A21">
        <w:t>). 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A24631" w:rsidRPr="00B07A21">
        <w:t xml:space="preserve">, which includes PAEE as a </w:t>
      </w:r>
      <w:r w:rsidR="00A24631" w:rsidRPr="00B07A21">
        <w:lastRenderedPageBreak/>
        <w:t>confounder,</w:t>
      </w:r>
      <w:r w:rsidRPr="00B07A21">
        <w:t xml:space="preserve"> </w:t>
      </w:r>
      <w:r w:rsidR="00A24631" w:rsidRPr="00B07A21">
        <w:t>in the fully adjusted model.</w:t>
      </w:r>
      <w:r w:rsidR="00B462B4">
        <w:t xml:space="preserve"> The results </w:t>
      </w:r>
      <w:r w:rsidR="009F3548">
        <w:t>f</w:t>
      </w:r>
      <w:r w:rsidR="00B462B4">
        <w:t xml:space="preserve">or model 0 (adjusted for biological sex </w:t>
      </w:r>
      <w:commentRangeStart w:id="14"/>
      <w:r w:rsidR="00EE31ED">
        <w:t>o</w:t>
      </w:r>
      <w:r w:rsidR="00B462B4">
        <w:t>nly</w:t>
      </w:r>
      <w:commentRangeEnd w:id="14"/>
      <w:r w:rsidR="00EE31ED">
        <w:rPr>
          <w:rStyle w:val="CommentReference"/>
        </w:rPr>
        <w:commentReference w:id="14"/>
      </w:r>
      <w:r w:rsidR="00B462B4">
        <w:t xml:space="preserve">) are present in </w:t>
      </w:r>
      <w:proofErr w:type="spellStart"/>
      <w:r w:rsidR="00B462B4" w:rsidRPr="00B462B4">
        <w:rPr>
          <w:b/>
          <w:bCs/>
        </w:rPr>
        <w:t>eTable</w:t>
      </w:r>
      <w:proofErr w:type="spellEnd"/>
      <w:r w:rsidR="00B462B4" w:rsidRPr="00B462B4">
        <w:rPr>
          <w:b/>
          <w:bCs/>
        </w:rPr>
        <w:t xml:space="preserve"> 5</w:t>
      </w:r>
      <w:r w:rsidR="00B462B4">
        <w:t>.</w:t>
      </w:r>
    </w:p>
    <w:p w14:paraId="166B56F5" w14:textId="6DA79698"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Quintile Comparison</w:t>
      </w:r>
    </w:p>
    <w:p w14:paraId="41AD4E22" w14:textId="5346F493"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quintiles, with a lower quintile denoting a lower risk of incident CAD. All results are for model 1 </w:t>
      </w:r>
      <w:r w:rsidR="00762D4D">
        <w:t>(full adjustment)</w:t>
      </w:r>
      <w:r>
        <w:t>.</w:t>
      </w:r>
      <w:r w:rsidR="00BD32D1">
        <w:t xml:space="preserve"> PAEE and genetic risk at every quintile beyond the 20</w:t>
      </w:r>
      <w:r w:rsidR="00BD32D1" w:rsidRPr="00BD32D1">
        <w:rPr>
          <w:vertAlign w:val="superscript"/>
        </w:rPr>
        <w:t>th</w:t>
      </w:r>
      <w:r w:rsidR="00BD32D1">
        <w:t xml:space="preserve"> percentile </w:t>
      </w:r>
      <w:r w:rsidR="006736BE">
        <w:t>exhibited</w:t>
      </w:r>
      <w:r w:rsidR="00BD32D1">
        <w:t xml:space="preserve"> significant differences with the reference group, which </w:t>
      </w:r>
      <w:r w:rsidR="006736BE">
        <w:t>emphasizes that</w:t>
      </w:r>
      <w:r w:rsidR="00BD32D1">
        <w:t xml:space="preserve"> even small changes in genetic risk or PAEE could have meaningful effects on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greater hazard of incident CAD compared to an individual in the same genetic risk stratum at the 20</w:t>
      </w:r>
      <w:r w:rsidRPr="009C52FB">
        <w:rPr>
          <w:vertAlign w:val="superscript"/>
        </w:rPr>
        <w:t>th</w:t>
      </w:r>
      <w:r>
        <w:t xml:space="preserve"> percentile of </w:t>
      </w:r>
      <w:r w:rsidR="006736BE">
        <w:t>PAEE</w:t>
      </w:r>
      <w:r>
        <w:t xml:space="preserve">. Genetic risk </w:t>
      </w:r>
      <w:r w:rsidR="00384BD8">
        <w:t xml:space="preserve">has an even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384BD8">
        <w:t xml:space="preserve">The absolute hazard from a lack of physical activity becomes far greater at higher genetic risk groups. </w:t>
      </w:r>
      <w:r>
        <w:t>Specifically, an individual at the 80</w:t>
      </w:r>
      <w:r w:rsidRPr="009C52FB">
        <w:rPr>
          <w:vertAlign w:val="superscript"/>
        </w:rPr>
        <w:t>th</w:t>
      </w:r>
      <w:r>
        <w:t xml:space="preserve"> percentile of risk for </w:t>
      </w:r>
      <w:r w:rsidR="00D6172B">
        <w:t>PAEE</w:t>
      </w:r>
      <w:r>
        <w:t xml:space="preserve"> and genetic susceptibility faces a 15</w:t>
      </w:r>
      <w:r w:rsidR="00D538AF">
        <w:t>3</w:t>
      </w:r>
      <w:r>
        <w:t>% greater hazard of incident CAD than an individual in the 20</w:t>
      </w:r>
      <w:r w:rsidRPr="009C52FB">
        <w:rPr>
          <w:vertAlign w:val="superscript"/>
        </w:rPr>
        <w:t>th</w:t>
      </w:r>
      <w:r>
        <w:t xml:space="preserve"> percentile of risk in both categories</w:t>
      </w:r>
      <w:r w:rsidR="00384BD8">
        <w:t xml:space="preserve"> compared to the reference group</w:t>
      </w:r>
      <w:r>
        <w:t>.</w:t>
      </w:r>
    </w:p>
    <w:p w14:paraId="2964AA8D" w14:textId="43B61F76" w:rsidR="00FB42C9" w:rsidRPr="0026526C" w:rsidRDefault="00350220" w:rsidP="0026526C">
      <w:pPr>
        <w:jc w:val="center"/>
        <w:rPr>
          <w:b/>
          <w:bCs/>
        </w:rPr>
      </w:pPr>
      <w:r w:rsidRPr="00350220">
        <w:rPr>
          <w:b/>
          <w:bCs/>
        </w:rPr>
        <w:t>[Insert Table 2 here]</w:t>
      </w:r>
    </w:p>
    <w:p w14:paraId="34DBD519" w14:textId="6571B30F"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15"/>
      <w:r w:rsidRPr="00FB42C9">
        <w:rPr>
          <w:i/>
          <w:iCs/>
        </w:rPr>
        <w:t>Risk</w:t>
      </w:r>
      <w:commentRangeEnd w:id="15"/>
      <w:r w:rsidR="0048555F">
        <w:rPr>
          <w:rStyle w:val="CommentReference"/>
        </w:rPr>
        <w:commentReference w:id="15"/>
      </w:r>
      <w:r w:rsidR="001D057F">
        <w:rPr>
          <w:i/>
          <w:iCs/>
        </w:rPr>
        <w:t xml:space="preserve"> Quintile Comparison</w:t>
      </w:r>
    </w:p>
    <w:p w14:paraId="68A9A6C4" w14:textId="231FFF06" w:rsidR="0048555F" w:rsidRDefault="00D6172B" w:rsidP="00BC37C9">
      <w:r>
        <w:t xml:space="preserve">Controlling for physical activity volume in model 1, </w:t>
      </w:r>
      <w:r w:rsidRPr="00D6172B">
        <w:rPr>
          <w:b/>
          <w:bCs/>
        </w:rPr>
        <w:t>Table 3</w:t>
      </w:r>
      <w:r>
        <w:t xml:space="preserve"> shows that </w:t>
      </w:r>
      <w:r w:rsidR="0048555F">
        <w:t>percent</w:t>
      </w:r>
      <w:r>
        <w:t xml:space="preserve"> MVPA has a</w:t>
      </w:r>
      <w:r w:rsidR="003B2BD9">
        <w:t>n even</w:t>
      </w:r>
      <w:r>
        <w:t xml:space="preserve"> 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greater hazard of incident CAD compared to an individual in the same genetic risk stratum at the 20</w:t>
      </w:r>
      <w:r w:rsidR="0048555F" w:rsidRPr="0048555F">
        <w:rPr>
          <w:vertAlign w:val="superscript"/>
        </w:rPr>
        <w:t>th</w:t>
      </w:r>
      <w:r w:rsidR="0048555F">
        <w:t xml:space="preserve"> percentile of percent MVPA risk, which surpasses the risk from comparatively low levels of PAEE.</w:t>
      </w:r>
      <w:r w:rsidR="00D2040F">
        <w:t xml:space="preserve"> The combined association between a participant in the 80</w:t>
      </w:r>
      <w:r w:rsidR="00D2040F" w:rsidRPr="00D2040F">
        <w:rPr>
          <w:vertAlign w:val="superscript"/>
        </w:rPr>
        <w:t>th</w:t>
      </w:r>
      <w:r w:rsidR="00D2040F">
        <w:t xml:space="preserve"> percentile of risk for both percent MVPA and genetic susceptibility results in nearly three times higher hazard of incident CAD than for an individual in the </w:t>
      </w:r>
      <w:r w:rsidR="003B2BD9">
        <w:t>reference group</w:t>
      </w:r>
      <w:r w:rsidR="00D2040F">
        <w:t>. We explored possible interaction between physical activity volume and intensity and concluded that no significant interaction appears to exist</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3531F3FA" w:rsidR="00BE16A0" w:rsidRDefault="009005E5">
      <w:r>
        <w:t>We found no significant interactions between either PAEE and genetic risk or percent MVPA and genetic risk</w:t>
      </w:r>
      <w:r w:rsidR="00B07A21">
        <w:t xml:space="preserve"> as seen in </w:t>
      </w:r>
      <w:proofErr w:type="spellStart"/>
      <w:r w:rsidR="00B07A21" w:rsidRPr="00B07A21">
        <w:rPr>
          <w:b/>
          <w:bCs/>
        </w:rPr>
        <w:t>eTable</w:t>
      </w:r>
      <w:proofErr w:type="spellEnd"/>
      <w:r w:rsidR="00B07A21" w:rsidRPr="00B07A21">
        <w:rPr>
          <w:b/>
          <w:bCs/>
        </w:rPr>
        <w:t xml:space="preserve"> </w:t>
      </w:r>
      <w:r w:rsidR="00350950">
        <w:rPr>
          <w:b/>
          <w:bCs/>
        </w:rPr>
        <w:t>6</w:t>
      </w:r>
      <w:r>
        <w:t>. This coheres with the existing literature that relied on subjective physical activity and genetic risk in larger samples (</w:t>
      </w:r>
      <w:r w:rsidR="00EB0E97">
        <w:t>19</w:t>
      </w:r>
      <w:r>
        <w:t>)(</w:t>
      </w:r>
      <w:r w:rsidR="00EB0E97">
        <w:t>8</w:t>
      </w:r>
      <w:r>
        <w:t xml:space="preserve">). Although </w:t>
      </w:r>
      <w:r w:rsidR="0014760B">
        <w:t>the smaller sample would increase the difficulty of detecting an effect, the preponderance of this evidence suggests that any interaction effect that might exist between physical activity and genetic risk is likely small.</w:t>
      </w:r>
    </w:p>
    <w:p w14:paraId="390A86CD" w14:textId="2BFC5624" w:rsidR="008C0C51" w:rsidRDefault="008C0C51">
      <w:pPr>
        <w:rPr>
          <w:i/>
          <w:iCs/>
        </w:rPr>
      </w:pPr>
      <w:r w:rsidRPr="008C0C51">
        <w:rPr>
          <w:i/>
          <w:iCs/>
        </w:rPr>
        <w:t>Sensitivity Analyses</w:t>
      </w:r>
    </w:p>
    <w:p w14:paraId="0A81683E" w14:textId="62CFC3E3" w:rsidR="008C0C51" w:rsidRPr="008C0C51" w:rsidRDefault="008C0C51">
      <w:r>
        <w:lastRenderedPageBreak/>
        <w:t>We perform a host of sensitivity analyses to test the stability of these results. We exclude</w:t>
      </w:r>
      <w:r w:rsidR="00C21272">
        <w:t>d</w:t>
      </w:r>
      <w:r>
        <w:t xml:space="preserve"> individuals with cases that occurred within the first year of follow-up, reran the analyses with imputation, and added potential mediators and occupation into the model with results available in </w:t>
      </w:r>
      <w:proofErr w:type="spellStart"/>
      <w:r w:rsidRPr="00B07A21">
        <w:rPr>
          <w:b/>
          <w:bCs/>
        </w:rPr>
        <w:t>eTable</w:t>
      </w:r>
      <w:r w:rsidR="00B07A21" w:rsidRPr="00B07A21">
        <w:rPr>
          <w:b/>
          <w:bCs/>
        </w:rPr>
        <w:t>s</w:t>
      </w:r>
      <w:proofErr w:type="spellEnd"/>
      <w:r w:rsidR="00B07A21" w:rsidRPr="00B07A21">
        <w:rPr>
          <w:b/>
          <w:bCs/>
        </w:rPr>
        <w:t xml:space="preserve"> </w:t>
      </w:r>
      <w:r w:rsidR="00350950">
        <w:rPr>
          <w:b/>
          <w:bCs/>
        </w:rPr>
        <w:t>7</w:t>
      </w:r>
      <w:r w:rsidR="00B07A21" w:rsidRPr="00B07A21">
        <w:rPr>
          <w:b/>
          <w:bCs/>
        </w:rPr>
        <w:t xml:space="preserve"> to 1</w:t>
      </w:r>
      <w:r w:rsidR="00F862BA">
        <w:rPr>
          <w:b/>
          <w:bCs/>
        </w:rPr>
        <w:t>1</w:t>
      </w:r>
      <w:r>
        <w:t>. None of these choices had a substantial effect on 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7746284B" w:rsidR="007A15CA" w:rsidRDefault="00E84B6C">
      <w:r>
        <w:t>In this study of 66,180 participants from the UK Biobank, the largest accelerometer-measured cohort in existence, genetic 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physical activity volume and intensity increased risk of CAD within a genetic risk stratum, low levels of physical activity volume and intensity were associated with an even greater risk of incident CAD in the highest genetic risk group. This suggests that physical activity behavior plays a large role in abating high genetic risk of CAD. Specifically, an individual at the highest level of genetic risk and lowest level of physical activity volume or intensity in the quintile analysis faced a 9</w:t>
      </w:r>
      <w:r w:rsidR="00D538AF">
        <w:t>2</w:t>
      </w:r>
      <w:r>
        <w:t>% greater hazard of CAD compared to a 15</w:t>
      </w:r>
      <w:r w:rsidR="00D538AF">
        <w:t>3</w:t>
      </w:r>
      <w:r>
        <w:t>% increase and a 18</w:t>
      </w:r>
      <w:r w:rsidR="00D538AF">
        <w:t>3</w:t>
      </w:r>
      <w:r>
        <w:t xml:space="preserve">% increase if they also had the lowest levels of physical activity volume or intensity, respectively. No interactions either between physical activity volume and intensity or between physical activity and genetic risk were observed. </w:t>
      </w:r>
    </w:p>
    <w:p w14:paraId="0C6AC150" w14:textId="515793FF" w:rsidR="00E84B6C" w:rsidRDefault="00BB4336">
      <w:pPr>
        <w:rPr>
          <w:i/>
          <w:iCs/>
        </w:rPr>
      </w:pPr>
      <w:commentRangeStart w:id="16"/>
      <w:commentRangeStart w:id="17"/>
      <w:commentRangeStart w:id="18"/>
      <w:commentRangeStart w:id="19"/>
      <w:commentRangeStart w:id="20"/>
      <w:commentRangeStart w:id="21"/>
      <w:r w:rsidRPr="00BB4336">
        <w:rPr>
          <w:i/>
          <w:iCs/>
        </w:rPr>
        <w:t>Interpretation</w:t>
      </w:r>
      <w:commentRangeEnd w:id="16"/>
      <w:r w:rsidR="000E7A0E">
        <w:rPr>
          <w:rStyle w:val="CommentReference"/>
        </w:rPr>
        <w:commentReference w:id="16"/>
      </w:r>
      <w:commentRangeEnd w:id="17"/>
      <w:r w:rsidR="000E7A0E">
        <w:rPr>
          <w:rStyle w:val="CommentReference"/>
        </w:rPr>
        <w:commentReference w:id="17"/>
      </w:r>
      <w:commentRangeEnd w:id="18"/>
      <w:r w:rsidR="00FB5113">
        <w:rPr>
          <w:rStyle w:val="CommentReference"/>
        </w:rPr>
        <w:commentReference w:id="18"/>
      </w:r>
      <w:commentRangeEnd w:id="19"/>
      <w:r w:rsidR="00FB5113">
        <w:rPr>
          <w:rStyle w:val="CommentReference"/>
        </w:rPr>
        <w:commentReference w:id="19"/>
      </w:r>
      <w:commentRangeEnd w:id="20"/>
      <w:r w:rsidR="00FB5113">
        <w:rPr>
          <w:rStyle w:val="CommentReference"/>
        </w:rPr>
        <w:commentReference w:id="20"/>
      </w:r>
      <w:commentRangeEnd w:id="21"/>
      <w:r w:rsidR="00FB5113">
        <w:rPr>
          <w:rStyle w:val="CommentReference"/>
        </w:rPr>
        <w:commentReference w:id="21"/>
      </w:r>
    </w:p>
    <w:p w14:paraId="27D59141" w14:textId="1BFDFC93" w:rsidR="00BB4336" w:rsidRDefault="000E7A0E">
      <w:r>
        <w:t>In order to ground this quintile analysis in more readily recognized terms, we convert PAEE into kcal/day for a 75 kilogram individual. The 80</w:t>
      </w:r>
      <w:r w:rsidRPr="000E7A0E">
        <w:rPr>
          <w:vertAlign w:val="superscript"/>
        </w:rPr>
        <w:t>th</w:t>
      </w:r>
      <w:r>
        <w:t xml:space="preserve"> percentile of PAEE risk corresponds to 5</w:t>
      </w:r>
      <w:r w:rsidR="008B45A2">
        <w:t>39</w:t>
      </w:r>
      <w:r>
        <w:t xml:space="preserve"> kcal/day from physical activity for a 75 kg individual compared to 8</w:t>
      </w:r>
      <w:r w:rsidR="008B45A2">
        <w:t>69</w:t>
      </w:r>
      <w:r>
        <w:t xml:space="preserve">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w:t>
      </w:r>
      <w:r w:rsidR="008B45A2">
        <w:t>5</w:t>
      </w:r>
      <w:r>
        <w:t xml:space="preserve"> kcal/day from MVPA in the 20</w:t>
      </w:r>
      <w:r w:rsidRPr="000E7A0E">
        <w:rPr>
          <w:vertAlign w:val="superscript"/>
        </w:rPr>
        <w:t>th</w:t>
      </w:r>
      <w:r>
        <w:t xml:space="preserve"> percentile.</w:t>
      </w:r>
    </w:p>
    <w:p w14:paraId="0EFDF1CB" w14:textId="7FD6CBDA" w:rsidR="000E7A0E" w:rsidRDefault="000E7A0E">
      <w:pPr>
        <w:rPr>
          <w:i/>
          <w:iCs/>
        </w:rPr>
      </w:pPr>
      <w:r w:rsidRPr="000E7A0E">
        <w:rPr>
          <w:i/>
          <w:iCs/>
        </w:rPr>
        <w:t>Comparison with Existing Literature</w:t>
      </w:r>
    </w:p>
    <w:p w14:paraId="0D1FF37D" w14:textId="6C1E7AD8" w:rsidR="0089176A" w:rsidRDefault="0089176A">
      <w:r>
        <w:t>This is the first study to explore the association of genetic risk and accelerometer-measured physical activity with incident CAD. While a comparison to previous studies on subjective physical activity, genetic risk, and cardiovascular diseases is challenging, the association between CAD and genetic risk appears stronger in the current study (</w:t>
      </w:r>
      <w:r w:rsidR="008B3873">
        <w:t>8)(19</w:t>
      </w:r>
      <w:r>
        <w:t>). In Said et al., physical activity was discretized into ideal, intermediate, and poor</w:t>
      </w:r>
      <w:r w:rsidR="00E82606">
        <w:t xml:space="preserve"> with ideal denoting that a person met AHA standards and poor denoting a person engaged in no MVPA. While the association between ideal and poor is even stronger than observed in our study, this likely occurs because the comparison includes individuals at the absolute extreme of physical activity, whereas we observe as a worst-case scenario individuals at the 80</w:t>
      </w:r>
      <w:r w:rsidR="00E82606" w:rsidRPr="00E82606">
        <w:rPr>
          <w:vertAlign w:val="superscript"/>
        </w:rPr>
        <w:t>th</w:t>
      </w:r>
      <w:r w:rsidR="00E82606">
        <w:t xml:space="preserve"> percentile. In contrast, in </w:t>
      </w:r>
      <w:proofErr w:type="spellStart"/>
      <w:r w:rsidR="00E82606">
        <w:t>Tikkanen</w:t>
      </w:r>
      <w:proofErr w:type="spellEnd"/>
      <w:r w:rsidR="00E82606">
        <w:t xml:space="preserve">, which split subjective physical activity into </w:t>
      </w:r>
      <w:proofErr w:type="spellStart"/>
      <w:r w:rsidR="00E82606">
        <w:t>tertiles</w:t>
      </w:r>
      <w:proofErr w:type="spellEnd"/>
      <w:r w:rsidR="00E82606">
        <w:t>, the differences between high and low levels of physical activity within genetic risk groups are far smaller than those observed in the present study. Relative to existing accelerometer-based studies, our results within genetic risk strata largely agree with these studies, although we model physical activity volume and intensity linearly (</w:t>
      </w:r>
      <w:r w:rsidR="00092F18">
        <w:t>9)(21)</w:t>
      </w:r>
      <w:r w:rsidR="00E82606">
        <w:t>.</w:t>
      </w:r>
    </w:p>
    <w:p w14:paraId="43F01AEC" w14:textId="2739976B" w:rsidR="00E82606" w:rsidRPr="00E82606" w:rsidRDefault="00E82606">
      <w:pPr>
        <w:rPr>
          <w:i/>
          <w:iCs/>
        </w:rPr>
      </w:pPr>
      <w:r w:rsidRPr="00E82606">
        <w:rPr>
          <w:i/>
          <w:iCs/>
        </w:rPr>
        <w:t>Strengths &amp; Limitations</w:t>
      </w:r>
    </w:p>
    <w:p w14:paraId="59C78293" w14:textId="1FECB3A6" w:rsidR="00867342" w:rsidRPr="005E2CBB" w:rsidRDefault="002A3CEA">
      <w:r>
        <w:lastRenderedPageBreak/>
        <w:t xml:space="preserve">This study was the first to compare accelerometer-measured physical activity volume and intensity and genetic risk’s association with incident CAD. We made use of the strongest polygenic risk score to date in the largest sample of individuals with accelerometer measurements in existence. By modeling physical activity continuously and with accelerometer measurements, we avoid the significant misclassification problems that can occur when discretizing subjective physical activity (41)(42). Lastly, the exploding popularity of commercially used wrist-worn accelerometers has made current physical activity standards </w:t>
      </w:r>
      <w:r w:rsidR="005E2CBB">
        <w:t>less relevant for the</w:t>
      </w:r>
      <w:r>
        <w:t xml:space="preserve"> population who rely on these devices </w:t>
      </w:r>
      <w:r w:rsidR="0081329F">
        <w:t>(43)</w:t>
      </w:r>
      <w:r>
        <w:t>(44)(</w:t>
      </w:r>
      <w:r w:rsidR="005E2CBB">
        <w:t>45</w:t>
      </w:r>
      <w:r>
        <w:t xml:space="preserve">). By measuring incidental physical activity, accelerometers would far overestimate the number of people reaching physical activity standards </w:t>
      </w:r>
      <w:r w:rsidR="005E2CBB">
        <w:t xml:space="preserve">by conventional standards </w:t>
      </w:r>
      <w:r>
        <w:t>and studies relying explicitly on accelerometer-measured physical activity can help close this gap</w:t>
      </w:r>
      <w:r w:rsidR="005E2CBB">
        <w:t xml:space="preserve"> (43)</w:t>
      </w:r>
      <w:r>
        <w:t>.</w:t>
      </w:r>
    </w:p>
    <w:p w14:paraId="237D72C4" w14:textId="71BFA20D" w:rsidR="002E2534" w:rsidRPr="005E2CBB" w:rsidRDefault="005E2CBB">
      <w:r>
        <w:t xml:space="preserve">There are numerous limitations of the present study. The UK Biobank sample is already disproportionately White and affluent relative to the general population and the sample who responded to take place in the accelerometer study represents further possibility for selection bias. However, previous studies have found that at least in terms of physical activity, this cohort appears representative of the general population (46). The covariates in the study rely on self-reporting and are not measured at the same time as accelerometer wear, which could lead to persisting residual confounding. Accelerometer wear also occurred only over a period of seven days, which makes it a cross-sectional measure, although we validate this against longitudinal measures of subjective physical activity in </w:t>
      </w:r>
      <w:proofErr w:type="spellStart"/>
      <w:r w:rsidRPr="00B07A21">
        <w:rPr>
          <w:b/>
          <w:bCs/>
        </w:rPr>
        <w:t>eTable</w:t>
      </w:r>
      <w:proofErr w:type="spellEnd"/>
      <w:r w:rsidRPr="00B07A21">
        <w:rPr>
          <w:b/>
          <w:bCs/>
        </w:rPr>
        <w:t xml:space="preserve"> </w:t>
      </w:r>
      <w:r w:rsidR="00B07A21" w:rsidRPr="00B07A21">
        <w:rPr>
          <w:b/>
          <w:bCs/>
        </w:rPr>
        <w:t>12</w:t>
      </w:r>
      <w:r>
        <w:t xml:space="preserve">. Previous studies have shown that reactivity bias, or a behavioral response to accelerometer wear, may bias measured physical activity volume, although changes were not observed for MVPA (47). This remains an observational study and because physical activity volume and intensity are not determined randomly, it is likely confounding still exists. Additionally, more sophisticated machine learning methods are being developed to better discriminate between different activity types and studies have shown this method of segregating % MVPA is prone to misclassification (48). Lastly, wrist-worn accelerometers are limited in their ability to capture all forms of physical activity, with housework, cycling, and </w:t>
      </w:r>
      <w:r w:rsidR="00C21945">
        <w:t>weightlifting</w:t>
      </w:r>
      <w:r>
        <w:t xml:space="preserve"> especially poorly captured (49)(50).</w:t>
      </w:r>
    </w:p>
    <w:p w14:paraId="53EF9D3C" w14:textId="178114A3" w:rsidR="00E451DB" w:rsidRPr="006F69A0" w:rsidRDefault="00B66012">
      <w:pPr>
        <w:rPr>
          <w:i/>
          <w:iCs/>
        </w:rPr>
      </w:pPr>
      <w:r>
        <w:rPr>
          <w:i/>
          <w:iCs/>
        </w:rPr>
        <w:t>Conclusion</w:t>
      </w:r>
    </w:p>
    <w:p w14:paraId="5471AECA" w14:textId="6B19FCF8" w:rsidR="00C21945" w:rsidRDefault="00C21945">
      <w:r>
        <w:t>High genetic risk and low levels of physical activity volume and intensity were associated with a large increase in incident CAD. This study showed that physical activity is beneficial regardless of an individual’s underlying genetic risk and that genetic risk does not determine an individual’s fate regarding CAD, which makes disclosure of genetic risk to patients only after a nuanced discussion of their interpretation essential (51).</w:t>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2BEC2E42" w:rsidR="00BE16A0" w:rsidRDefault="00BE16A0">
      <w:pPr>
        <w:rPr>
          <w:b/>
          <w:bCs/>
        </w:rPr>
      </w:pPr>
    </w:p>
    <w:p w14:paraId="1EB75EFD" w14:textId="7BC3CE8C" w:rsidR="00BE16A0" w:rsidRDefault="00BE16A0">
      <w:pPr>
        <w:rPr>
          <w:b/>
          <w:bCs/>
        </w:rPr>
      </w:pPr>
    </w:p>
    <w:p w14:paraId="21D7CB5F" w14:textId="6EA1AE63" w:rsidR="00BE16A0" w:rsidRDefault="00BE16A0">
      <w:pPr>
        <w:rPr>
          <w:b/>
          <w:bCs/>
        </w:rPr>
      </w:pPr>
    </w:p>
    <w:p w14:paraId="4BABF29E" w14:textId="1E876B8C" w:rsidR="00BE16A0" w:rsidRDefault="00BE16A0">
      <w:pPr>
        <w:rPr>
          <w:b/>
          <w:bCs/>
        </w:rPr>
      </w:pPr>
    </w:p>
    <w:p w14:paraId="4C358CA9" w14:textId="3D620F14" w:rsidR="00BE16A0" w:rsidRDefault="00BE16A0">
      <w:pPr>
        <w:rPr>
          <w:b/>
          <w:bCs/>
        </w:rPr>
      </w:pP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7777777" w:rsidR="00986A1C" w:rsidRPr="00AB2CAA" w:rsidRDefault="00986A1C" w:rsidP="00106735">
            <w:pPr>
              <w:rPr>
                <w:sz w:val="20"/>
                <w:szCs w:val="20"/>
              </w:rPr>
            </w:pPr>
            <w:r w:rsidRPr="00AB2CAA">
              <w:rPr>
                <w:sz w:val="20"/>
                <w:szCs w:val="20"/>
              </w:rPr>
              <w:t xml:space="preserve">PAEE,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7777777" w:rsidR="00986A1C" w:rsidRDefault="00986A1C" w:rsidP="00106735">
            <w:pPr>
              <w:rPr>
                <w:sz w:val="20"/>
                <w:szCs w:val="20"/>
              </w:rPr>
            </w:pPr>
            <w:bookmarkStart w:id="22" w:name="_Hlk130392242"/>
            <w:r>
              <w:rPr>
                <w:sz w:val="20"/>
                <w:szCs w:val="20"/>
              </w:rPr>
              <w:t xml:space="preserve">Percent MVPA,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22"/>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lastRenderedPageBreak/>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7777777" w:rsidR="00986A1C" w:rsidRPr="006A2B06" w:rsidRDefault="00986A1C" w:rsidP="00106735">
            <w:pPr>
              <w:rPr>
                <w:b/>
                <w:bCs/>
                <w:sz w:val="20"/>
                <w:szCs w:val="20"/>
              </w:rPr>
            </w:pPr>
            <w:r w:rsidRPr="006A2B06">
              <w:rPr>
                <w:b/>
                <w:bCs/>
                <w:sz w:val="20"/>
                <w:szCs w:val="20"/>
              </w:rPr>
              <w:t xml:space="preserve">Season of Wear,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lastRenderedPageBreak/>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23"/>
      <w:commentRangeStart w:id="24"/>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23"/>
      <w:r w:rsidRPr="00E427E6">
        <w:rPr>
          <w:rStyle w:val="CommentReference"/>
          <w:highlight w:val="yellow"/>
        </w:rPr>
        <w:commentReference w:id="23"/>
      </w:r>
      <w:commentRangeEnd w:id="24"/>
      <w:r>
        <w:rPr>
          <w:rStyle w:val="CommentReference"/>
        </w:rPr>
        <w:commentReference w:id="24"/>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9"/>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lastRenderedPageBreak/>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lastRenderedPageBreak/>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lastRenderedPageBreak/>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3T13:53:00Z" w:initials="RS">
    <w:p w14:paraId="065DB6AC" w14:textId="77777777" w:rsidR="006A1A6A" w:rsidRDefault="006A1A6A" w:rsidP="00780787">
      <w:pPr>
        <w:pStyle w:val="CommentText"/>
      </w:pPr>
      <w:r>
        <w:rPr>
          <w:rStyle w:val="CommentReference"/>
        </w:rPr>
        <w:annotationRef/>
      </w:r>
      <w:r>
        <w:t>Technically 5 characters over 150 here...</w:t>
      </w:r>
    </w:p>
  </w:comment>
  <w:comment w:id="1" w:author="Robert Schell" w:date="2023-03-23T14:09:00Z" w:initials="RS">
    <w:p w14:paraId="09126F0B" w14:textId="77777777" w:rsidR="005F62BE" w:rsidRDefault="005F62BE" w:rsidP="00AC29C1">
      <w:pPr>
        <w:pStyle w:val="CommentText"/>
      </w:pPr>
      <w:r>
        <w:rPr>
          <w:rStyle w:val="CommentReference"/>
        </w:rPr>
        <w:annotationRef/>
      </w:r>
      <w:r>
        <w:t>Only real candidate would be dropping the 'volume and intensity' part of the title</w:t>
      </w:r>
    </w:p>
  </w:comment>
  <w:comment w:id="2" w:author="Robert Schell" w:date="2023-03-23T14:10:00Z" w:initials="RS">
    <w:p w14:paraId="09FA7ABF" w14:textId="77777777" w:rsidR="00965C59" w:rsidRDefault="00965C59" w:rsidP="004C4D9D">
      <w:pPr>
        <w:pStyle w:val="CommentText"/>
      </w:pPr>
      <w:r>
        <w:rPr>
          <w:rStyle w:val="CommentReference"/>
        </w:rPr>
        <w:annotationRef/>
      </w:r>
      <w:r>
        <w:t>Could also drop UK Biobank but this seems worse</w:t>
      </w:r>
    </w:p>
  </w:comment>
  <w:comment w:id="3" w:author="Robert Schell" w:date="2023-03-23T14:08:00Z" w:initials="RS">
    <w:p w14:paraId="3C89C36B" w14:textId="43E6053D" w:rsidR="005F62BE" w:rsidRDefault="005F62BE" w:rsidP="008D3AA7">
      <w:pPr>
        <w:pStyle w:val="CommentText"/>
      </w:pPr>
      <w:r>
        <w:rPr>
          <w:rStyle w:val="CommentReference"/>
        </w:rPr>
        <w:annotationRef/>
      </w:r>
      <w:r>
        <w:t>At exactly 350 now - should make sure it hasn't hurt legibility of abstract</w:t>
      </w:r>
    </w:p>
  </w:comment>
  <w:comment w:id="4" w:author="Robert Schell" w:date="2023-03-23T12:09:00Z" w:initials="RS">
    <w:p w14:paraId="1B4E1680" w14:textId="4ECDAEA2" w:rsidR="004941D7" w:rsidRDefault="004941D7" w:rsidP="003C3449">
      <w:pPr>
        <w:pStyle w:val="CommentText"/>
      </w:pPr>
      <w:r>
        <w:rPr>
          <w:rStyle w:val="CommentReference"/>
        </w:rPr>
        <w:annotationRef/>
      </w:r>
      <w:r>
        <w:t>October 31st 22 or September 30 21?</w:t>
      </w:r>
    </w:p>
  </w:comment>
  <w:comment w:id="5" w:author="Robert Schell" w:date="2023-03-23T12:10:00Z" w:initials="RS">
    <w:p w14:paraId="3C7B9412" w14:textId="77777777" w:rsidR="00E361A7" w:rsidRDefault="00E361A7" w:rsidP="00F918CD">
      <w:pPr>
        <w:pStyle w:val="CommentText"/>
      </w:pPr>
      <w:r>
        <w:rPr>
          <w:rStyle w:val="CommentReference"/>
        </w:rPr>
        <w:annotationRef/>
      </w:r>
      <w:r>
        <w:t>Easy to test - if no events after 2021 pretty unlikely to be longer follow up time</w:t>
      </w:r>
    </w:p>
  </w:comment>
  <w:comment w:id="6" w:author="Robert Schell" w:date="2023-03-23T12:11:00Z" w:initials="RS">
    <w:p w14:paraId="15ACAAB8" w14:textId="77777777" w:rsidR="003C240D" w:rsidRDefault="00E361A7" w:rsidP="00CF025F">
      <w:pPr>
        <w:pStyle w:val="CommentText"/>
      </w:pPr>
      <w:r>
        <w:rPr>
          <w:rStyle w:val="CommentReference"/>
        </w:rPr>
        <w:annotationRef/>
      </w:r>
      <w:r w:rsidR="003C240D">
        <w:t>Ours is earlier version - Latest CAD event is in September 2021</w:t>
      </w:r>
    </w:p>
  </w:comment>
  <w:comment w:id="7" w:author="Robert Schell" w:date="2023-03-20T21:43:00Z" w:initials="RS">
    <w:p w14:paraId="53A04C51" w14:textId="3E883AB9" w:rsidR="00EE3DF0" w:rsidRDefault="00EE3DF0" w:rsidP="002C626B">
      <w:pPr>
        <w:pStyle w:val="CommentText"/>
      </w:pPr>
      <w:r>
        <w:rPr>
          <w:rStyle w:val="CommentReference"/>
        </w:rPr>
        <w:annotationRef/>
      </w:r>
      <w:r>
        <w:t>Plan to put actual equation in appendix - it's a bit confusing to add here without much context</w:t>
      </w:r>
    </w:p>
  </w:comment>
  <w:comment w:id="8" w:author="Robert Schell" w:date="2023-03-20T17:49:00Z" w:initials="RS">
    <w:p w14:paraId="4FCF8F48" w14:textId="66321356" w:rsidR="00C270C7" w:rsidRDefault="00C270C7" w:rsidP="0067461B">
      <w:pPr>
        <w:pStyle w:val="CommentText"/>
      </w:pPr>
      <w:r>
        <w:rPr>
          <w:rStyle w:val="CommentReference"/>
        </w:rPr>
        <w:annotationRef/>
      </w:r>
      <w:r>
        <w:t>Can abridge and remove part of if necessary - Said et al. did this</w:t>
      </w:r>
    </w:p>
  </w:comment>
  <w:comment w:id="9" w:author="Robert Schell" w:date="2023-03-22T18:19:00Z" w:initials="RS">
    <w:p w14:paraId="6AB8F8B9" w14:textId="77777777"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10"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11"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12"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13" w:author="Robert Schell" w:date="2023-03-20T22:32:00Z" w:initials="RS">
    <w:p w14:paraId="534DE890" w14:textId="77777777" w:rsidR="009A7DCC" w:rsidRDefault="009A7DCC" w:rsidP="00A34458">
      <w:pPr>
        <w:pStyle w:val="CommentText"/>
      </w:pPr>
      <w:r>
        <w:rPr>
          <w:rStyle w:val="CommentReference"/>
        </w:rPr>
        <w:annotationRef/>
      </w:r>
      <w:r>
        <w:t>Either this breakdown or move flowchart to supplement then have 2 tables and 2 figures for models</w:t>
      </w:r>
    </w:p>
  </w:comment>
  <w:comment w:id="14" w:author="Robert Schell" w:date="2023-03-22T20:43:00Z" w:initials="RS">
    <w:p w14:paraId="48E3B4E3" w14:textId="77777777" w:rsidR="00EE31ED" w:rsidRDefault="00EE31ED" w:rsidP="00BC0D66">
      <w:pPr>
        <w:pStyle w:val="CommentText"/>
      </w:pPr>
      <w:r>
        <w:rPr>
          <w:rStyle w:val="CommentReference"/>
        </w:rPr>
        <w:annotationRef/>
      </w:r>
      <w:r>
        <w:t>Does having age as time scale count as adjusting for age?</w:t>
      </w:r>
    </w:p>
  </w:comment>
  <w:comment w:id="15"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16" w:author="Robert Schell" w:date="2023-03-22T12:44:00Z" w:initials="RS">
    <w:p w14:paraId="3F31A195" w14:textId="77777777" w:rsidR="000E7A0E" w:rsidRDefault="000E7A0E" w:rsidP="0098261D">
      <w:pPr>
        <w:pStyle w:val="CommentText"/>
      </w:pPr>
      <w:r>
        <w:rPr>
          <w:rStyle w:val="CommentReference"/>
        </w:rPr>
        <w:annotationRef/>
      </w:r>
      <w:r>
        <w:t>Haven't quite worked out where to slot this in or if it's even worthwhile to add...</w:t>
      </w:r>
    </w:p>
  </w:comment>
  <w:comment w:id="17" w:author="Robert Schell" w:date="2023-03-22T12:46:00Z" w:initials="RS">
    <w:p w14:paraId="62ADFE1B" w14:textId="77777777" w:rsidR="000E7A0E" w:rsidRDefault="000E7A0E" w:rsidP="006B5EE4">
      <w:pPr>
        <w:pStyle w:val="CommentText"/>
      </w:pPr>
      <w:r>
        <w:rPr>
          <w:rStyle w:val="CommentReference"/>
        </w:rPr>
        <w:annotationRef/>
      </w:r>
      <w:r>
        <w:t>Fairly straightforward. Can convert kJ to kcal and then simply choose some kgs weight… DEFINITELY SOME ASSUMPTIONS BAKED INTO THIS IDEA</w:t>
      </w:r>
    </w:p>
  </w:comment>
  <w:comment w:id="18" w:author="Robert Schell" w:date="2023-03-22T13:20:00Z" w:initials="RS">
    <w:p w14:paraId="1C0C9995" w14:textId="77777777" w:rsidR="00FB5113" w:rsidRDefault="00FB5113" w:rsidP="005061D3">
      <w:pPr>
        <w:pStyle w:val="CommentText"/>
      </w:pPr>
      <w:r>
        <w:rPr>
          <w:rStyle w:val="CommentReference"/>
        </w:rPr>
        <w:annotationRef/>
      </w:r>
      <w:r>
        <w:t>To answer - WHAT IS A QUINTILE</w:t>
      </w:r>
    </w:p>
  </w:comment>
  <w:comment w:id="19" w:author="Robert Schell" w:date="2023-03-22T13:21:00Z" w:initials="RS">
    <w:p w14:paraId="4C6F20A7" w14:textId="77777777" w:rsidR="00FB5113" w:rsidRDefault="00FB5113" w:rsidP="004B1FD6">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20" w:author="Robert Schell" w:date="2023-03-22T13:21:00Z" w:initials="RS">
    <w:p w14:paraId="3973E90E" w14:textId="77777777" w:rsidR="00FB5113" w:rsidRDefault="00FB5113" w:rsidP="00A06C8F">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21" w:author="Robert Schell" w:date="2023-03-22T13:21:00Z" w:initials="RS">
    <w:p w14:paraId="36763988" w14:textId="77777777" w:rsidR="00FB5113" w:rsidRDefault="00FB5113" w:rsidP="003B59A3">
      <w:pPr>
        <w:pStyle w:val="CommentText"/>
      </w:pPr>
      <w:r>
        <w:rPr>
          <w:rStyle w:val="CommentReference"/>
        </w:rPr>
        <w:annotationRef/>
      </w:r>
      <w:r>
        <w:t>CITE SOMETHING ON ASSUMPTIONS IMPLICIT IN THIS APPROACH...</w:t>
      </w:r>
    </w:p>
  </w:comment>
  <w:comment w:id="23"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24"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DB6AC" w15:done="0"/>
  <w15:commentEx w15:paraId="09126F0B" w15:paraIdParent="065DB6AC" w15:done="0"/>
  <w15:commentEx w15:paraId="09FA7ABF" w15:paraIdParent="065DB6AC" w15:done="0"/>
  <w15:commentEx w15:paraId="3C89C36B" w15:done="0"/>
  <w15:commentEx w15:paraId="1B4E1680" w15:done="0"/>
  <w15:commentEx w15:paraId="3C7B9412" w15:paraIdParent="1B4E1680" w15:done="0"/>
  <w15:commentEx w15:paraId="15ACAAB8" w15:paraIdParent="1B4E1680" w15:done="0"/>
  <w15:commentEx w15:paraId="53A04C51" w15:done="0"/>
  <w15:commentEx w15:paraId="4FCF8F48" w15:done="0"/>
  <w15:commentEx w15:paraId="6AB8F8B9" w15:done="0"/>
  <w15:commentEx w15:paraId="100A5FD3" w15:done="0"/>
  <w15:commentEx w15:paraId="0C8F1342" w15:paraIdParent="100A5FD3" w15:done="0"/>
  <w15:commentEx w15:paraId="7DE68F7D" w15:paraIdParent="100A5FD3" w15:done="0"/>
  <w15:commentEx w15:paraId="534DE890" w15:done="0"/>
  <w15:commentEx w15:paraId="48E3B4E3" w15:done="0"/>
  <w15:commentEx w15:paraId="68532812" w15:done="0"/>
  <w15:commentEx w15:paraId="3F31A195" w15:done="0"/>
  <w15:commentEx w15:paraId="62ADFE1B" w15:paraIdParent="3F31A195" w15:done="0"/>
  <w15:commentEx w15:paraId="1C0C9995" w15:paraIdParent="3F31A195" w15:done="0"/>
  <w15:commentEx w15:paraId="4C6F20A7" w15:paraIdParent="3F31A195" w15:done="0"/>
  <w15:commentEx w15:paraId="3973E90E" w15:paraIdParent="3F31A195" w15:done="0"/>
  <w15:commentEx w15:paraId="36763988" w15:paraIdParent="3F31A195"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86A" w16cex:dateUtc="2023-03-23T20:53:00Z"/>
  <w16cex:commentExtensible w16cex:durableId="27C6DC13" w16cex:dateUtc="2023-03-23T21:09:00Z"/>
  <w16cex:commentExtensible w16cex:durableId="27C6DC4A" w16cex:dateUtc="2023-03-23T21:10:00Z"/>
  <w16cex:commentExtensible w16cex:durableId="27C6DBF1" w16cex:dateUtc="2023-03-23T21:08:00Z"/>
  <w16cex:commentExtensible w16cex:durableId="27C6BFE7" w16cex:dateUtc="2023-03-23T19:09:00Z"/>
  <w16cex:commentExtensible w16cex:durableId="27C6C041" w16cex:dateUtc="2023-03-23T19:10:00Z"/>
  <w16cex:commentExtensible w16cex:durableId="27C6C064" w16cex:dateUtc="2023-03-23T19:11:00Z"/>
  <w16cex:commentExtensible w16cex:durableId="27C35204" w16cex:dateUtc="2023-03-21T04:43:00Z"/>
  <w16cex:commentExtensible w16cex:durableId="27C31B3C" w16cex:dateUtc="2023-03-21T00:4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35D89" w16cex:dateUtc="2023-03-21T05:32:00Z"/>
  <w16cex:commentExtensible w16cex:durableId="27C5E70F" w16cex:dateUtc="2023-03-23T03:43:00Z"/>
  <w16cex:commentExtensible w16cex:durableId="27C37E6E" w16cex:dateUtc="2023-03-21T07:53: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DB6AC" w16cid:durableId="27C6D86A"/>
  <w16cid:commentId w16cid:paraId="09126F0B" w16cid:durableId="27C6DC13"/>
  <w16cid:commentId w16cid:paraId="09FA7ABF" w16cid:durableId="27C6DC4A"/>
  <w16cid:commentId w16cid:paraId="3C89C36B" w16cid:durableId="27C6DBF1"/>
  <w16cid:commentId w16cid:paraId="1B4E1680" w16cid:durableId="27C6BFE7"/>
  <w16cid:commentId w16cid:paraId="3C7B9412" w16cid:durableId="27C6C041"/>
  <w16cid:commentId w16cid:paraId="15ACAAB8" w16cid:durableId="27C6C064"/>
  <w16cid:commentId w16cid:paraId="53A04C51" w16cid:durableId="27C35204"/>
  <w16cid:commentId w16cid:paraId="4FCF8F48" w16cid:durableId="27C31B3C"/>
  <w16cid:commentId w16cid:paraId="6AB8F8B9" w16cid:durableId="27C5C517"/>
  <w16cid:commentId w16cid:paraId="100A5FD3" w16cid:durableId="27C5809F"/>
  <w16cid:commentId w16cid:paraId="0C8F1342" w16cid:durableId="27C580B0"/>
  <w16cid:commentId w16cid:paraId="7DE68F7D" w16cid:durableId="27C580E7"/>
  <w16cid:commentId w16cid:paraId="534DE890" w16cid:durableId="27C35D89"/>
  <w16cid:commentId w16cid:paraId="48E3B4E3" w16cid:durableId="27C5E70F"/>
  <w16cid:commentId w16cid:paraId="68532812" w16cid:durableId="27C37E6E"/>
  <w16cid:commentId w16cid:paraId="3F31A195" w16cid:durableId="27C5769F"/>
  <w16cid:commentId w16cid:paraId="62ADFE1B" w16cid:durableId="27C5771A"/>
  <w16cid:commentId w16cid:paraId="1C0C9995" w16cid:durableId="27C57F31"/>
  <w16cid:commentId w16cid:paraId="4C6F20A7" w16cid:durableId="27C57F46"/>
  <w16cid:commentId w16cid:paraId="3973E90E" w16cid:durableId="27C57F54"/>
  <w16cid:commentId w16cid:paraId="36763988"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3224"/>
    <w:rsid w:val="000372BF"/>
    <w:rsid w:val="00042CEC"/>
    <w:rsid w:val="00054388"/>
    <w:rsid w:val="000767E5"/>
    <w:rsid w:val="00082299"/>
    <w:rsid w:val="00092F18"/>
    <w:rsid w:val="0009502B"/>
    <w:rsid w:val="000D0FD3"/>
    <w:rsid w:val="000D5088"/>
    <w:rsid w:val="000D6AEE"/>
    <w:rsid w:val="000D7D35"/>
    <w:rsid w:val="000E7A0E"/>
    <w:rsid w:val="0010599C"/>
    <w:rsid w:val="00131846"/>
    <w:rsid w:val="001320FD"/>
    <w:rsid w:val="00142EB6"/>
    <w:rsid w:val="0014760B"/>
    <w:rsid w:val="0016399A"/>
    <w:rsid w:val="001710E3"/>
    <w:rsid w:val="00195BB5"/>
    <w:rsid w:val="001A5EED"/>
    <w:rsid w:val="001B16EE"/>
    <w:rsid w:val="001B2008"/>
    <w:rsid w:val="001B4F91"/>
    <w:rsid w:val="001C2058"/>
    <w:rsid w:val="001D057F"/>
    <w:rsid w:val="00214C36"/>
    <w:rsid w:val="00235338"/>
    <w:rsid w:val="00253A0D"/>
    <w:rsid w:val="0026526C"/>
    <w:rsid w:val="002813CB"/>
    <w:rsid w:val="002956B2"/>
    <w:rsid w:val="002A3CEA"/>
    <w:rsid w:val="002A54EB"/>
    <w:rsid w:val="002B04B0"/>
    <w:rsid w:val="002C30F5"/>
    <w:rsid w:val="002E0623"/>
    <w:rsid w:val="002E2534"/>
    <w:rsid w:val="002E6344"/>
    <w:rsid w:val="002F171F"/>
    <w:rsid w:val="002F653C"/>
    <w:rsid w:val="003258A6"/>
    <w:rsid w:val="00327889"/>
    <w:rsid w:val="00333147"/>
    <w:rsid w:val="00333E36"/>
    <w:rsid w:val="00350220"/>
    <w:rsid w:val="00350950"/>
    <w:rsid w:val="00367A73"/>
    <w:rsid w:val="0037091B"/>
    <w:rsid w:val="00374495"/>
    <w:rsid w:val="0037734A"/>
    <w:rsid w:val="00384BD8"/>
    <w:rsid w:val="00384D0C"/>
    <w:rsid w:val="003917D7"/>
    <w:rsid w:val="003B2BD9"/>
    <w:rsid w:val="003C240D"/>
    <w:rsid w:val="003E2886"/>
    <w:rsid w:val="0040005A"/>
    <w:rsid w:val="00403B92"/>
    <w:rsid w:val="004373E4"/>
    <w:rsid w:val="004414F9"/>
    <w:rsid w:val="00452C49"/>
    <w:rsid w:val="00483287"/>
    <w:rsid w:val="0048555F"/>
    <w:rsid w:val="00493771"/>
    <w:rsid w:val="004941D7"/>
    <w:rsid w:val="004A0B1F"/>
    <w:rsid w:val="00511969"/>
    <w:rsid w:val="005134E3"/>
    <w:rsid w:val="00523BE8"/>
    <w:rsid w:val="005437F1"/>
    <w:rsid w:val="00547D4C"/>
    <w:rsid w:val="005A55CB"/>
    <w:rsid w:val="005C3A9D"/>
    <w:rsid w:val="005C4332"/>
    <w:rsid w:val="005E2CBB"/>
    <w:rsid w:val="005F5E2C"/>
    <w:rsid w:val="005F62BE"/>
    <w:rsid w:val="006176F5"/>
    <w:rsid w:val="00646B86"/>
    <w:rsid w:val="00655CBD"/>
    <w:rsid w:val="006736BE"/>
    <w:rsid w:val="006A0C2F"/>
    <w:rsid w:val="006A1022"/>
    <w:rsid w:val="006A1A6A"/>
    <w:rsid w:val="006B68BE"/>
    <w:rsid w:val="006C7976"/>
    <w:rsid w:val="006D5E4B"/>
    <w:rsid w:val="006D76CC"/>
    <w:rsid w:val="006E2499"/>
    <w:rsid w:val="006E3E77"/>
    <w:rsid w:val="006F69A0"/>
    <w:rsid w:val="0070331F"/>
    <w:rsid w:val="0072180C"/>
    <w:rsid w:val="00750265"/>
    <w:rsid w:val="007542EB"/>
    <w:rsid w:val="00762D4D"/>
    <w:rsid w:val="007703FF"/>
    <w:rsid w:val="007851EE"/>
    <w:rsid w:val="007851EF"/>
    <w:rsid w:val="007853F7"/>
    <w:rsid w:val="00785538"/>
    <w:rsid w:val="00790E9E"/>
    <w:rsid w:val="007A15CA"/>
    <w:rsid w:val="007B384C"/>
    <w:rsid w:val="007B3B1F"/>
    <w:rsid w:val="007D0F4F"/>
    <w:rsid w:val="007D13EF"/>
    <w:rsid w:val="007D308A"/>
    <w:rsid w:val="007F6155"/>
    <w:rsid w:val="00811131"/>
    <w:rsid w:val="0081329F"/>
    <w:rsid w:val="008148FB"/>
    <w:rsid w:val="008178C2"/>
    <w:rsid w:val="008213FE"/>
    <w:rsid w:val="008238EB"/>
    <w:rsid w:val="008322E7"/>
    <w:rsid w:val="00832F7D"/>
    <w:rsid w:val="00840AB5"/>
    <w:rsid w:val="00842AC7"/>
    <w:rsid w:val="008435A7"/>
    <w:rsid w:val="00867342"/>
    <w:rsid w:val="008853D5"/>
    <w:rsid w:val="0089176A"/>
    <w:rsid w:val="00893E6C"/>
    <w:rsid w:val="008B3873"/>
    <w:rsid w:val="008B45A2"/>
    <w:rsid w:val="008C0C51"/>
    <w:rsid w:val="008C12F6"/>
    <w:rsid w:val="008D6B4A"/>
    <w:rsid w:val="009005E5"/>
    <w:rsid w:val="009035D1"/>
    <w:rsid w:val="009477E3"/>
    <w:rsid w:val="00965C59"/>
    <w:rsid w:val="00986A1C"/>
    <w:rsid w:val="00987FCB"/>
    <w:rsid w:val="00990AF5"/>
    <w:rsid w:val="009A3E8D"/>
    <w:rsid w:val="009A7DCC"/>
    <w:rsid w:val="009B1702"/>
    <w:rsid w:val="009C52FB"/>
    <w:rsid w:val="009D23FD"/>
    <w:rsid w:val="009D5BCB"/>
    <w:rsid w:val="009E344C"/>
    <w:rsid w:val="009F3263"/>
    <w:rsid w:val="009F3548"/>
    <w:rsid w:val="009F74EF"/>
    <w:rsid w:val="00A16861"/>
    <w:rsid w:val="00A16A40"/>
    <w:rsid w:val="00A17E1C"/>
    <w:rsid w:val="00A24631"/>
    <w:rsid w:val="00A2734A"/>
    <w:rsid w:val="00A27C69"/>
    <w:rsid w:val="00A516C5"/>
    <w:rsid w:val="00A52666"/>
    <w:rsid w:val="00A94340"/>
    <w:rsid w:val="00AA70E0"/>
    <w:rsid w:val="00AB5786"/>
    <w:rsid w:val="00AB61F1"/>
    <w:rsid w:val="00AD72A8"/>
    <w:rsid w:val="00AE07D7"/>
    <w:rsid w:val="00AF1E75"/>
    <w:rsid w:val="00B07A21"/>
    <w:rsid w:val="00B3136F"/>
    <w:rsid w:val="00B462B4"/>
    <w:rsid w:val="00B61641"/>
    <w:rsid w:val="00B66012"/>
    <w:rsid w:val="00B77B9C"/>
    <w:rsid w:val="00B958B4"/>
    <w:rsid w:val="00B9672A"/>
    <w:rsid w:val="00BB4336"/>
    <w:rsid w:val="00BC01CB"/>
    <w:rsid w:val="00BC37C9"/>
    <w:rsid w:val="00BC4207"/>
    <w:rsid w:val="00BC722F"/>
    <w:rsid w:val="00BD32D1"/>
    <w:rsid w:val="00BD611E"/>
    <w:rsid w:val="00BE16A0"/>
    <w:rsid w:val="00BF4B11"/>
    <w:rsid w:val="00C067E1"/>
    <w:rsid w:val="00C21272"/>
    <w:rsid w:val="00C21945"/>
    <w:rsid w:val="00C270C7"/>
    <w:rsid w:val="00C47BD8"/>
    <w:rsid w:val="00C86A30"/>
    <w:rsid w:val="00C92B9C"/>
    <w:rsid w:val="00CB216B"/>
    <w:rsid w:val="00CB27DB"/>
    <w:rsid w:val="00CC2739"/>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3110"/>
    <w:rsid w:val="00D93AE1"/>
    <w:rsid w:val="00DB7250"/>
    <w:rsid w:val="00DC3158"/>
    <w:rsid w:val="00DD54B5"/>
    <w:rsid w:val="00DF2353"/>
    <w:rsid w:val="00DF3D9D"/>
    <w:rsid w:val="00DF7A46"/>
    <w:rsid w:val="00E30099"/>
    <w:rsid w:val="00E312BC"/>
    <w:rsid w:val="00E361A7"/>
    <w:rsid w:val="00E40593"/>
    <w:rsid w:val="00E41D53"/>
    <w:rsid w:val="00E451DB"/>
    <w:rsid w:val="00E457C9"/>
    <w:rsid w:val="00E60292"/>
    <w:rsid w:val="00E67688"/>
    <w:rsid w:val="00E74A2D"/>
    <w:rsid w:val="00E82606"/>
    <w:rsid w:val="00E84B6C"/>
    <w:rsid w:val="00E97F39"/>
    <w:rsid w:val="00EA4060"/>
    <w:rsid w:val="00EB045E"/>
    <w:rsid w:val="00EB0E97"/>
    <w:rsid w:val="00EC64B1"/>
    <w:rsid w:val="00EE270F"/>
    <w:rsid w:val="00EE31ED"/>
    <w:rsid w:val="00EE3DF0"/>
    <w:rsid w:val="00EE4F6A"/>
    <w:rsid w:val="00EE699C"/>
    <w:rsid w:val="00F408D9"/>
    <w:rsid w:val="00F42B17"/>
    <w:rsid w:val="00F47AEA"/>
    <w:rsid w:val="00F57D67"/>
    <w:rsid w:val="00F60914"/>
    <w:rsid w:val="00F801BB"/>
    <w:rsid w:val="00F862BA"/>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17</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200</cp:revision>
  <dcterms:created xsi:type="dcterms:W3CDTF">2023-03-19T20:00:00Z</dcterms:created>
  <dcterms:modified xsi:type="dcterms:W3CDTF">2023-03-23T21:10:00Z</dcterms:modified>
</cp:coreProperties>
</file>