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58BE" w14:textId="403464CC" w:rsidR="00087008" w:rsidRDefault="003F2172" w:rsidP="00087008">
      <w:pPr>
        <w:jc w:val="center"/>
      </w:pPr>
      <w:r>
        <w:t>Mtg w/ Will</w:t>
      </w:r>
    </w:p>
    <w:p w14:paraId="350BAB0B" w14:textId="1BADA309" w:rsidR="00480D19" w:rsidRDefault="00480D19" w:rsidP="00087008">
      <w:pPr>
        <w:jc w:val="center"/>
      </w:pPr>
    </w:p>
    <w:p w14:paraId="6F54422B" w14:textId="688EB914" w:rsidR="00480D19" w:rsidRPr="00292EBF" w:rsidRDefault="00480D19" w:rsidP="00087008">
      <w:pPr>
        <w:jc w:val="center"/>
        <w:rPr>
          <w:b/>
          <w:bCs/>
        </w:rPr>
      </w:pPr>
      <w:r w:rsidRPr="00292EBF">
        <w:rPr>
          <w:b/>
          <w:bCs/>
        </w:rPr>
        <w:t>ON JOB DECISION</w:t>
      </w:r>
    </w:p>
    <w:p w14:paraId="4BDDBCFF" w14:textId="12327DFB" w:rsidR="003F2172" w:rsidRDefault="00480D19" w:rsidP="00292EBF">
      <w:r>
        <w:t>Ultimately decided to take this non-academic offer at Analysis Group…</w:t>
      </w:r>
    </w:p>
    <w:p w14:paraId="3617BCA8" w14:textId="5E31216C" w:rsidR="00480D19" w:rsidRDefault="00480D19" w:rsidP="00292EBF">
      <w:r>
        <w:t xml:space="preserve">I created a decision matrix between </w:t>
      </w:r>
      <w:proofErr w:type="gramStart"/>
      <w:r>
        <w:t>this</w:t>
      </w:r>
      <w:proofErr w:type="gramEnd"/>
      <w:r>
        <w:t xml:space="preserve"> and the Michigan offer and realized when I was making it:</w:t>
      </w:r>
    </w:p>
    <w:p w14:paraId="1DDC10A4" w14:textId="4E995956" w:rsidR="00480D19" w:rsidRDefault="00480D19" w:rsidP="00292EBF">
      <w:r>
        <w:t>We really like the area, appreciate the stability that comes from a more normal job, better for my family financially…. JUST ultimately not enough pulling me to Ann Arbor</w:t>
      </w:r>
    </w:p>
    <w:p w14:paraId="6C0512C1" w14:textId="04FD87E2" w:rsidR="00480D19" w:rsidRDefault="00480D19" w:rsidP="00292EBF">
      <w:r>
        <w:t xml:space="preserve">NOT a position I really want forever either but it’s a decent off ramp to explore other options given how brutal the academic path can </w:t>
      </w:r>
      <w:proofErr w:type="gramStart"/>
      <w:r>
        <w:t>be</w:t>
      </w:r>
      <w:proofErr w:type="gramEnd"/>
    </w:p>
    <w:p w14:paraId="0D529490" w14:textId="09795FB3" w:rsidR="00480D19" w:rsidRDefault="00480D19" w:rsidP="00292EBF">
      <w:r>
        <w:t>NOT SURE WHERE I WILL BE IN A COUPLE OF YEARS BUT COMFORTABLE WITH THIS DECISION</w:t>
      </w:r>
    </w:p>
    <w:p w14:paraId="105913B2" w14:textId="66BE05D8" w:rsidR="00480D19" w:rsidRDefault="00480D19" w:rsidP="00087008">
      <w:pPr>
        <w:jc w:val="center"/>
      </w:pPr>
    </w:p>
    <w:p w14:paraId="22F3203D" w14:textId="642885CC" w:rsidR="00292EBF" w:rsidRDefault="00292EBF" w:rsidP="00087008">
      <w:pPr>
        <w:jc w:val="center"/>
      </w:pPr>
    </w:p>
    <w:p w14:paraId="01A1C173" w14:textId="35870031" w:rsidR="00292EBF" w:rsidRDefault="00292EBF" w:rsidP="00087008">
      <w:pPr>
        <w:jc w:val="center"/>
      </w:pPr>
    </w:p>
    <w:p w14:paraId="171F201C" w14:textId="201F9BFB" w:rsidR="00292EBF" w:rsidRDefault="00292EBF" w:rsidP="00087008">
      <w:pPr>
        <w:jc w:val="center"/>
      </w:pPr>
    </w:p>
    <w:p w14:paraId="77AF9C6F" w14:textId="27114DA1" w:rsidR="00292EBF" w:rsidRDefault="00292EBF" w:rsidP="00087008">
      <w:pPr>
        <w:jc w:val="center"/>
      </w:pPr>
    </w:p>
    <w:p w14:paraId="5DDBE457" w14:textId="57D3C90D" w:rsidR="00292EBF" w:rsidRDefault="00292EBF" w:rsidP="00087008">
      <w:pPr>
        <w:jc w:val="center"/>
      </w:pPr>
    </w:p>
    <w:p w14:paraId="72D4E3B1" w14:textId="6C2FF3AF" w:rsidR="00292EBF" w:rsidRDefault="00292EBF" w:rsidP="00087008">
      <w:pPr>
        <w:jc w:val="center"/>
      </w:pPr>
    </w:p>
    <w:p w14:paraId="06A4807B" w14:textId="6FE1A48E" w:rsidR="00292EBF" w:rsidRDefault="00292EBF" w:rsidP="00087008">
      <w:pPr>
        <w:jc w:val="center"/>
      </w:pPr>
    </w:p>
    <w:p w14:paraId="3E72CC6E" w14:textId="551960B7" w:rsidR="00292EBF" w:rsidRDefault="00292EBF" w:rsidP="00087008">
      <w:pPr>
        <w:jc w:val="center"/>
      </w:pPr>
    </w:p>
    <w:p w14:paraId="49A034A1" w14:textId="220FF0C3" w:rsidR="00292EBF" w:rsidRDefault="00292EBF" w:rsidP="00087008">
      <w:pPr>
        <w:jc w:val="center"/>
      </w:pPr>
    </w:p>
    <w:p w14:paraId="58942E5F" w14:textId="47C3E1EE" w:rsidR="00292EBF" w:rsidRDefault="00292EBF" w:rsidP="00087008">
      <w:pPr>
        <w:jc w:val="center"/>
      </w:pPr>
    </w:p>
    <w:p w14:paraId="40BF451F" w14:textId="04CB920E" w:rsidR="00292EBF" w:rsidRDefault="00292EBF" w:rsidP="00087008">
      <w:pPr>
        <w:jc w:val="center"/>
      </w:pPr>
    </w:p>
    <w:p w14:paraId="10AEC3C2" w14:textId="1B98A473" w:rsidR="00292EBF" w:rsidRDefault="00292EBF" w:rsidP="00087008">
      <w:pPr>
        <w:jc w:val="center"/>
      </w:pPr>
    </w:p>
    <w:p w14:paraId="49E98161" w14:textId="1E154985" w:rsidR="00292EBF" w:rsidRDefault="00292EBF" w:rsidP="00087008">
      <w:pPr>
        <w:jc w:val="center"/>
      </w:pPr>
    </w:p>
    <w:p w14:paraId="31B240A5" w14:textId="1E66BECE" w:rsidR="00292EBF" w:rsidRDefault="00292EBF" w:rsidP="00087008">
      <w:pPr>
        <w:jc w:val="center"/>
      </w:pPr>
    </w:p>
    <w:p w14:paraId="66B2958A" w14:textId="6C1FAB84" w:rsidR="00292EBF" w:rsidRDefault="00292EBF" w:rsidP="00087008">
      <w:pPr>
        <w:jc w:val="center"/>
      </w:pPr>
    </w:p>
    <w:p w14:paraId="1603E5BC" w14:textId="2E911DA9" w:rsidR="00292EBF" w:rsidRDefault="00292EBF" w:rsidP="00087008">
      <w:pPr>
        <w:jc w:val="center"/>
      </w:pPr>
    </w:p>
    <w:p w14:paraId="102BB75C" w14:textId="78260B87" w:rsidR="00292EBF" w:rsidRDefault="00292EBF" w:rsidP="00087008">
      <w:pPr>
        <w:jc w:val="center"/>
      </w:pPr>
    </w:p>
    <w:p w14:paraId="66952257" w14:textId="77777777" w:rsidR="00292EBF" w:rsidRDefault="00292EBF" w:rsidP="00087008">
      <w:pPr>
        <w:jc w:val="center"/>
      </w:pPr>
    </w:p>
    <w:p w14:paraId="1968814B" w14:textId="530AFC7B" w:rsidR="00480D19" w:rsidRPr="00292EBF" w:rsidRDefault="00480D19" w:rsidP="00087008">
      <w:pPr>
        <w:jc w:val="center"/>
        <w:rPr>
          <w:b/>
          <w:bCs/>
        </w:rPr>
      </w:pPr>
      <w:r w:rsidRPr="00292EBF">
        <w:rPr>
          <w:b/>
          <w:bCs/>
        </w:rPr>
        <w:lastRenderedPageBreak/>
        <w:t>On Dissertation</w:t>
      </w:r>
    </w:p>
    <w:p w14:paraId="4DC30409" w14:textId="77777777" w:rsidR="00292EBF" w:rsidRDefault="00292EBF" w:rsidP="00292EBF">
      <w:pPr>
        <w:jc w:val="center"/>
      </w:pPr>
      <w:r>
        <w:t>Dempsey is “</w:t>
      </w:r>
      <w:r w:rsidRPr="00D03DEE">
        <w:t>Physical activity volume, intensity, and incident cardiovascular disease</w:t>
      </w:r>
      <w:r>
        <w:t xml:space="preserve">” in the </w:t>
      </w:r>
      <w:r w:rsidRPr="00D03DEE">
        <w:rPr>
          <w:i/>
          <w:iCs/>
        </w:rPr>
        <w:t>European Heart Journal</w:t>
      </w:r>
    </w:p>
    <w:p w14:paraId="4D7EA430" w14:textId="77777777" w:rsidR="00292EBF" w:rsidRDefault="00292EBF" w:rsidP="00292EBF">
      <w:pPr>
        <w:jc w:val="center"/>
      </w:pPr>
      <w:r>
        <w:t>Good news:</w:t>
      </w:r>
    </w:p>
    <w:p w14:paraId="0E6D93E4" w14:textId="77777777" w:rsidR="00292EBF" w:rsidRPr="00E45F86" w:rsidRDefault="00292EBF" w:rsidP="00292EBF">
      <w:pPr>
        <w:jc w:val="center"/>
        <w:rPr>
          <w:b/>
          <w:bCs/>
        </w:rPr>
      </w:pPr>
      <w:r w:rsidRPr="00E45F86">
        <w:rPr>
          <w:b/>
          <w:bCs/>
        </w:rPr>
        <w:t>Sample of Results from Replicating Dempsey</w:t>
      </w:r>
      <w:r>
        <w:rPr>
          <w:b/>
          <w:bCs/>
        </w:rPr>
        <w:t xml:space="preserve"> after fixing restricted cubic spline specification</w:t>
      </w:r>
      <w:r w:rsidRPr="00E45F86">
        <w:rPr>
          <w:b/>
          <w:bCs/>
        </w:rPr>
        <w:t>:</w:t>
      </w:r>
    </w:p>
    <w:tbl>
      <w:tblPr>
        <w:tblStyle w:val="TableGrid"/>
        <w:tblW w:w="9350" w:type="dxa"/>
        <w:jc w:val="center"/>
        <w:tblLook w:val="04A0" w:firstRow="1" w:lastRow="0" w:firstColumn="1" w:lastColumn="0" w:noHBand="0" w:noVBand="1"/>
      </w:tblPr>
      <w:tblGrid>
        <w:gridCol w:w="3262"/>
        <w:gridCol w:w="3100"/>
        <w:gridCol w:w="2988"/>
      </w:tblGrid>
      <w:tr w:rsidR="00292EBF" w14:paraId="68F6312A" w14:textId="77777777" w:rsidTr="00023AE0">
        <w:trPr>
          <w:jc w:val="center"/>
        </w:trPr>
        <w:tc>
          <w:tcPr>
            <w:tcW w:w="9350" w:type="dxa"/>
            <w:gridSpan w:val="3"/>
            <w:vAlign w:val="center"/>
          </w:tcPr>
          <w:p w14:paraId="1CCF4C20" w14:textId="77777777" w:rsidR="00292EBF" w:rsidRPr="00B54C48" w:rsidRDefault="00292EBF" w:rsidP="00023AE0">
            <w:pPr>
              <w:jc w:val="center"/>
              <w:rPr>
                <w:b/>
                <w:bCs/>
              </w:rPr>
            </w:pPr>
            <w:r>
              <w:rPr>
                <w:b/>
                <w:bCs/>
              </w:rPr>
              <w:t>Physical Activity Energy Expenditure</w:t>
            </w:r>
          </w:p>
          <w:p w14:paraId="57A8273D" w14:textId="77777777" w:rsidR="00292EBF" w:rsidRDefault="00292EBF" w:rsidP="00023AE0">
            <w:pPr>
              <w:jc w:val="center"/>
              <w:rPr>
                <w:b/>
                <w:bCs/>
              </w:rPr>
            </w:pPr>
            <w:r w:rsidRPr="00B54C48">
              <w:rPr>
                <w:b/>
                <w:bCs/>
              </w:rPr>
              <w:t>Physical Activity Risk (Lower Risk = MORE Physical Activity)</w:t>
            </w:r>
          </w:p>
        </w:tc>
      </w:tr>
      <w:tr w:rsidR="00292EBF" w14:paraId="4E467AEB" w14:textId="77777777" w:rsidTr="00023AE0">
        <w:trPr>
          <w:jc w:val="center"/>
        </w:trPr>
        <w:tc>
          <w:tcPr>
            <w:tcW w:w="3262" w:type="dxa"/>
          </w:tcPr>
          <w:p w14:paraId="47C90893" w14:textId="77777777" w:rsidR="00292EBF" w:rsidRDefault="00292EBF" w:rsidP="00023AE0">
            <w:r>
              <w:t>Physical Activity Energy Expenditure</w:t>
            </w:r>
          </w:p>
        </w:tc>
        <w:tc>
          <w:tcPr>
            <w:tcW w:w="3100" w:type="dxa"/>
            <w:vAlign w:val="center"/>
          </w:tcPr>
          <w:p w14:paraId="065AD3F6" w14:textId="77777777" w:rsidR="00292EBF" w:rsidRPr="000863E8" w:rsidRDefault="00292EBF" w:rsidP="00023AE0">
            <w:pPr>
              <w:jc w:val="center"/>
              <w:rPr>
                <w:i/>
                <w:iCs/>
              </w:rPr>
            </w:pPr>
            <w:r>
              <w:rPr>
                <w:i/>
                <w:iCs/>
              </w:rPr>
              <w:t>Adjusted HR (95% CI)</w:t>
            </w:r>
          </w:p>
        </w:tc>
        <w:tc>
          <w:tcPr>
            <w:tcW w:w="2988" w:type="dxa"/>
          </w:tcPr>
          <w:p w14:paraId="65822EB3" w14:textId="77777777" w:rsidR="00292EBF" w:rsidRDefault="00292EBF" w:rsidP="00023AE0">
            <w:pPr>
              <w:jc w:val="center"/>
              <w:rPr>
                <w:i/>
                <w:iCs/>
              </w:rPr>
            </w:pPr>
            <w:r>
              <w:rPr>
                <w:i/>
                <w:iCs/>
              </w:rPr>
              <w:t>Dempsey Adjusted HR (95% CI)</w:t>
            </w:r>
          </w:p>
        </w:tc>
      </w:tr>
      <w:tr w:rsidR="00292EBF" w14:paraId="5FF7A59B" w14:textId="77777777" w:rsidTr="00023AE0">
        <w:trPr>
          <w:jc w:val="center"/>
        </w:trPr>
        <w:tc>
          <w:tcPr>
            <w:tcW w:w="3262" w:type="dxa"/>
            <w:vAlign w:val="center"/>
          </w:tcPr>
          <w:p w14:paraId="00E666D0" w14:textId="77777777" w:rsidR="00292EBF" w:rsidRPr="000863E8" w:rsidRDefault="00292EBF" w:rsidP="00023AE0">
            <w:pPr>
              <w:jc w:val="center"/>
              <w:rPr>
                <w:i/>
                <w:iCs/>
              </w:rPr>
            </w:pPr>
            <w:r>
              <w:rPr>
                <w:i/>
                <w:iCs/>
              </w:rPr>
              <w:t>15</w:t>
            </w:r>
          </w:p>
          <w:p w14:paraId="2202DA15" w14:textId="77777777" w:rsidR="00292EBF" w:rsidRPr="000863E8" w:rsidRDefault="00292EBF" w:rsidP="00023AE0">
            <w:pPr>
              <w:jc w:val="center"/>
              <w:rPr>
                <w:i/>
                <w:iCs/>
              </w:rPr>
            </w:pPr>
          </w:p>
        </w:tc>
        <w:tc>
          <w:tcPr>
            <w:tcW w:w="3100" w:type="dxa"/>
            <w:vAlign w:val="center"/>
          </w:tcPr>
          <w:p w14:paraId="62752B06" w14:textId="77777777" w:rsidR="00292EBF" w:rsidRDefault="00292EBF" w:rsidP="00023AE0">
            <w:pPr>
              <w:jc w:val="center"/>
            </w:pPr>
            <w:r>
              <w:t>1 (Reference)</w:t>
            </w:r>
          </w:p>
        </w:tc>
        <w:tc>
          <w:tcPr>
            <w:tcW w:w="2988" w:type="dxa"/>
            <w:vAlign w:val="center"/>
          </w:tcPr>
          <w:p w14:paraId="440070E4" w14:textId="77777777" w:rsidR="00292EBF" w:rsidRDefault="00292EBF" w:rsidP="00023AE0">
            <w:pPr>
              <w:jc w:val="center"/>
            </w:pPr>
            <w:r>
              <w:t>1 (Reference)</w:t>
            </w:r>
          </w:p>
        </w:tc>
      </w:tr>
      <w:tr w:rsidR="00292EBF" w14:paraId="7D4B431D" w14:textId="77777777" w:rsidTr="00023AE0">
        <w:trPr>
          <w:jc w:val="center"/>
        </w:trPr>
        <w:tc>
          <w:tcPr>
            <w:tcW w:w="3262" w:type="dxa"/>
            <w:vAlign w:val="center"/>
          </w:tcPr>
          <w:p w14:paraId="3A990FCA" w14:textId="77777777" w:rsidR="00292EBF" w:rsidRPr="000863E8" w:rsidRDefault="00292EBF" w:rsidP="00023AE0">
            <w:pPr>
              <w:jc w:val="center"/>
              <w:rPr>
                <w:i/>
                <w:iCs/>
              </w:rPr>
            </w:pPr>
            <w:r>
              <w:rPr>
                <w:i/>
                <w:iCs/>
              </w:rPr>
              <w:t>20</w:t>
            </w:r>
          </w:p>
          <w:p w14:paraId="1CFF821D" w14:textId="77777777" w:rsidR="00292EBF" w:rsidRPr="000863E8" w:rsidRDefault="00292EBF" w:rsidP="00023AE0">
            <w:pPr>
              <w:jc w:val="center"/>
              <w:rPr>
                <w:i/>
                <w:iCs/>
              </w:rPr>
            </w:pPr>
          </w:p>
        </w:tc>
        <w:tc>
          <w:tcPr>
            <w:tcW w:w="3100" w:type="dxa"/>
            <w:vAlign w:val="center"/>
          </w:tcPr>
          <w:p w14:paraId="112F6230" w14:textId="77777777" w:rsidR="00292EBF" w:rsidRDefault="00292EBF" w:rsidP="00023AE0">
            <w:pPr>
              <w:jc w:val="center"/>
            </w:pPr>
            <w:r>
              <w:t>0.95 (95% CI: 0.91, 1.00)</w:t>
            </w:r>
          </w:p>
        </w:tc>
        <w:tc>
          <w:tcPr>
            <w:tcW w:w="2988" w:type="dxa"/>
            <w:vAlign w:val="center"/>
          </w:tcPr>
          <w:p w14:paraId="61D68222" w14:textId="77777777" w:rsidR="00292EBF" w:rsidRDefault="00292EBF" w:rsidP="00023AE0">
            <w:pPr>
              <w:jc w:val="center"/>
            </w:pPr>
            <w:r>
              <w:t>0.88 (0.80-0.96)</w:t>
            </w:r>
          </w:p>
        </w:tc>
      </w:tr>
      <w:tr w:rsidR="00292EBF" w14:paraId="14F7937C" w14:textId="77777777" w:rsidTr="00023AE0">
        <w:trPr>
          <w:jc w:val="center"/>
        </w:trPr>
        <w:tc>
          <w:tcPr>
            <w:tcW w:w="3262" w:type="dxa"/>
            <w:vAlign w:val="center"/>
          </w:tcPr>
          <w:p w14:paraId="4B5ABDE6" w14:textId="77777777" w:rsidR="00292EBF" w:rsidRPr="000863E8" w:rsidRDefault="00292EBF" w:rsidP="00023AE0">
            <w:pPr>
              <w:jc w:val="center"/>
              <w:rPr>
                <w:i/>
                <w:iCs/>
              </w:rPr>
            </w:pPr>
            <w:r>
              <w:rPr>
                <w:i/>
                <w:iCs/>
              </w:rPr>
              <w:t>30</w:t>
            </w:r>
          </w:p>
          <w:p w14:paraId="7333FEE3" w14:textId="77777777" w:rsidR="00292EBF" w:rsidRPr="000863E8" w:rsidRDefault="00292EBF" w:rsidP="00023AE0">
            <w:pPr>
              <w:jc w:val="center"/>
              <w:rPr>
                <w:i/>
                <w:iCs/>
              </w:rPr>
            </w:pPr>
          </w:p>
        </w:tc>
        <w:tc>
          <w:tcPr>
            <w:tcW w:w="3100" w:type="dxa"/>
            <w:vAlign w:val="center"/>
          </w:tcPr>
          <w:p w14:paraId="2CC63E9B" w14:textId="77777777" w:rsidR="00292EBF" w:rsidRDefault="00292EBF" w:rsidP="00023AE0">
            <w:pPr>
              <w:jc w:val="center"/>
            </w:pPr>
            <w:r>
              <w:t>0.87 (95% CI: 0.76-0.99)</w:t>
            </w:r>
          </w:p>
        </w:tc>
        <w:tc>
          <w:tcPr>
            <w:tcW w:w="2988" w:type="dxa"/>
            <w:vAlign w:val="center"/>
          </w:tcPr>
          <w:p w14:paraId="4C5C88C4" w14:textId="77777777" w:rsidR="00292EBF" w:rsidRDefault="00292EBF" w:rsidP="00023AE0">
            <w:pPr>
              <w:jc w:val="center"/>
            </w:pPr>
            <w:r>
              <w:t>0.73 (0.60-0.88)</w:t>
            </w:r>
          </w:p>
        </w:tc>
      </w:tr>
      <w:tr w:rsidR="00292EBF" w14:paraId="310CD220" w14:textId="77777777" w:rsidTr="00023AE0">
        <w:trPr>
          <w:jc w:val="center"/>
        </w:trPr>
        <w:tc>
          <w:tcPr>
            <w:tcW w:w="3262" w:type="dxa"/>
            <w:vAlign w:val="center"/>
          </w:tcPr>
          <w:p w14:paraId="78E1AC13" w14:textId="77777777" w:rsidR="00292EBF" w:rsidRPr="000863E8" w:rsidRDefault="00292EBF" w:rsidP="00023AE0">
            <w:pPr>
              <w:jc w:val="center"/>
              <w:rPr>
                <w:i/>
                <w:iCs/>
              </w:rPr>
            </w:pPr>
            <w:r>
              <w:rPr>
                <w:i/>
                <w:iCs/>
              </w:rPr>
              <w:t>40</w:t>
            </w:r>
          </w:p>
          <w:p w14:paraId="04933F4E" w14:textId="77777777" w:rsidR="00292EBF" w:rsidRPr="000863E8" w:rsidRDefault="00292EBF" w:rsidP="00023AE0">
            <w:pPr>
              <w:jc w:val="center"/>
              <w:rPr>
                <w:i/>
                <w:iCs/>
              </w:rPr>
            </w:pPr>
          </w:p>
        </w:tc>
        <w:tc>
          <w:tcPr>
            <w:tcW w:w="3100" w:type="dxa"/>
            <w:vAlign w:val="center"/>
          </w:tcPr>
          <w:p w14:paraId="1FF0441E" w14:textId="77777777" w:rsidR="00292EBF" w:rsidRDefault="00292EBF" w:rsidP="00023AE0">
            <w:pPr>
              <w:jc w:val="center"/>
            </w:pPr>
            <w:r>
              <w:t>0.80 (95% CI: 0.67-0.97)</w:t>
            </w:r>
          </w:p>
        </w:tc>
        <w:tc>
          <w:tcPr>
            <w:tcW w:w="2988" w:type="dxa"/>
            <w:vAlign w:val="center"/>
          </w:tcPr>
          <w:p w14:paraId="5F71EFE3" w14:textId="77777777" w:rsidR="00292EBF" w:rsidRDefault="00292EBF" w:rsidP="00023AE0">
            <w:pPr>
              <w:jc w:val="center"/>
            </w:pPr>
            <w:r>
              <w:t>0.69 (0.58-0.82)</w:t>
            </w:r>
          </w:p>
        </w:tc>
      </w:tr>
      <w:tr w:rsidR="00292EBF" w14:paraId="484BDB3D" w14:textId="77777777" w:rsidTr="00023AE0">
        <w:trPr>
          <w:jc w:val="center"/>
        </w:trPr>
        <w:tc>
          <w:tcPr>
            <w:tcW w:w="3262" w:type="dxa"/>
            <w:vAlign w:val="center"/>
          </w:tcPr>
          <w:p w14:paraId="53E5D65D" w14:textId="77777777" w:rsidR="00292EBF" w:rsidRDefault="00292EBF" w:rsidP="00023AE0">
            <w:pPr>
              <w:jc w:val="center"/>
              <w:rPr>
                <w:i/>
                <w:iCs/>
              </w:rPr>
            </w:pPr>
            <w:r>
              <w:rPr>
                <w:i/>
                <w:iCs/>
              </w:rPr>
              <w:t>50</w:t>
            </w:r>
          </w:p>
          <w:p w14:paraId="335D853A" w14:textId="77777777" w:rsidR="00292EBF" w:rsidRDefault="00292EBF" w:rsidP="00023AE0">
            <w:pPr>
              <w:jc w:val="center"/>
              <w:rPr>
                <w:i/>
                <w:iCs/>
              </w:rPr>
            </w:pPr>
          </w:p>
        </w:tc>
        <w:tc>
          <w:tcPr>
            <w:tcW w:w="3100" w:type="dxa"/>
            <w:vAlign w:val="center"/>
          </w:tcPr>
          <w:p w14:paraId="25CCDAF0" w14:textId="77777777" w:rsidR="00292EBF" w:rsidRDefault="00292EBF" w:rsidP="00023AE0">
            <w:pPr>
              <w:jc w:val="center"/>
            </w:pPr>
            <w:r>
              <w:t>0.79 (95% CI: 0.66-0.94)</w:t>
            </w:r>
          </w:p>
        </w:tc>
        <w:tc>
          <w:tcPr>
            <w:tcW w:w="2988" w:type="dxa"/>
            <w:vAlign w:val="center"/>
          </w:tcPr>
          <w:p w14:paraId="3EF7ECFF" w14:textId="77777777" w:rsidR="00292EBF" w:rsidRDefault="00292EBF" w:rsidP="00023AE0">
            <w:pPr>
              <w:jc w:val="center"/>
            </w:pPr>
            <w:r>
              <w:t>0.64 (0.53-0.76)</w:t>
            </w:r>
          </w:p>
        </w:tc>
      </w:tr>
      <w:tr w:rsidR="00292EBF" w14:paraId="214F5685" w14:textId="77777777" w:rsidTr="00023AE0">
        <w:trPr>
          <w:jc w:val="center"/>
        </w:trPr>
        <w:tc>
          <w:tcPr>
            <w:tcW w:w="3262" w:type="dxa"/>
            <w:vAlign w:val="center"/>
          </w:tcPr>
          <w:p w14:paraId="21267C84" w14:textId="77777777" w:rsidR="00292EBF" w:rsidRDefault="00292EBF" w:rsidP="00023AE0">
            <w:pPr>
              <w:jc w:val="center"/>
              <w:rPr>
                <w:i/>
                <w:iCs/>
              </w:rPr>
            </w:pPr>
            <w:r>
              <w:rPr>
                <w:i/>
                <w:iCs/>
              </w:rPr>
              <w:t>60</w:t>
            </w:r>
          </w:p>
          <w:p w14:paraId="5C83A71F" w14:textId="77777777" w:rsidR="00292EBF" w:rsidRDefault="00292EBF" w:rsidP="00023AE0">
            <w:pPr>
              <w:jc w:val="center"/>
              <w:rPr>
                <w:i/>
                <w:iCs/>
              </w:rPr>
            </w:pPr>
          </w:p>
        </w:tc>
        <w:tc>
          <w:tcPr>
            <w:tcW w:w="3100" w:type="dxa"/>
            <w:vAlign w:val="center"/>
          </w:tcPr>
          <w:p w14:paraId="41AF41EE" w14:textId="77777777" w:rsidR="00292EBF" w:rsidRDefault="00292EBF" w:rsidP="00023AE0">
            <w:pPr>
              <w:jc w:val="center"/>
            </w:pPr>
            <w:r>
              <w:t>0.78 (95% CI: 0.63-0.97)</w:t>
            </w:r>
          </w:p>
        </w:tc>
        <w:tc>
          <w:tcPr>
            <w:tcW w:w="2988" w:type="dxa"/>
            <w:vAlign w:val="center"/>
          </w:tcPr>
          <w:p w14:paraId="7B810FFD" w14:textId="77777777" w:rsidR="00292EBF" w:rsidRDefault="00292EBF" w:rsidP="00023AE0">
            <w:pPr>
              <w:jc w:val="center"/>
            </w:pPr>
            <w:r>
              <w:t>0.60 (0.49-0.73)</w:t>
            </w:r>
          </w:p>
        </w:tc>
      </w:tr>
    </w:tbl>
    <w:p w14:paraId="7BB6FEA9" w14:textId="77777777" w:rsidR="00292EBF" w:rsidRDefault="00292EBF" w:rsidP="00292EBF">
      <w:pPr>
        <w:jc w:val="center"/>
      </w:pPr>
    </w:p>
    <w:p w14:paraId="36548B23" w14:textId="77777777" w:rsidR="00292EBF" w:rsidRDefault="00292EBF" w:rsidP="00292EBF">
      <w:r>
        <w:t xml:space="preserve">The Dempsey study on which much of this is modeled generally had stronger associations than we found. This makes sense given that we use coronary artery disease (a subset of CVD) as the </w:t>
      </w:r>
      <w:proofErr w:type="gramStart"/>
      <w:r>
        <w:t>outcome</w:t>
      </w:r>
      <w:proofErr w:type="gramEnd"/>
      <w:r>
        <w:t xml:space="preserve"> and they use cardiovascular disease as the outcome. Additionally, our sample is only about 75k individuals compared to 96k in Dempsey because we had to screen for individuals with high quality genetic data. Nevertheless, it does not appear that large statistical power differences exist (in part because of the similarly narrow confidence intervals). NOT A REPLICATION BUT NOT SUPPOSED TO BE.</w:t>
      </w:r>
    </w:p>
    <w:p w14:paraId="646A8D5D" w14:textId="2D4615C7" w:rsidR="00292EBF" w:rsidRDefault="00292EBF" w:rsidP="00292EBF"/>
    <w:p w14:paraId="74BE4CD4" w14:textId="04247A56" w:rsidR="00292EBF" w:rsidRDefault="00292EBF" w:rsidP="00292EBF">
      <w:r>
        <w:t xml:space="preserve">We have established a reasonable relationship for overall PA VOLUME and incident CAD. We can now bring the composite risk of polygenic score and PA volume into the same model. Now we just </w:t>
      </w:r>
      <w:proofErr w:type="gramStart"/>
      <w:r>
        <w:t>have to</w:t>
      </w:r>
      <w:proofErr w:type="gramEnd"/>
      <w:r>
        <w:t xml:space="preserve"> do PA intensity.</w:t>
      </w:r>
    </w:p>
    <w:p w14:paraId="77789AA3" w14:textId="3D0F7BCE" w:rsidR="00292EBF" w:rsidRDefault="00292EBF" w:rsidP="00292EBF">
      <w:pPr>
        <w:pStyle w:val="ListParagraph"/>
        <w:numPr>
          <w:ilvl w:val="0"/>
          <w:numId w:val="1"/>
        </w:numPr>
        <w:rPr>
          <w:noProof/>
        </w:rPr>
      </w:pPr>
      <w:r>
        <w:rPr>
          <w:noProof/>
        </w:rPr>
        <w:t>Last big step in our analyses is to look at the effect of PA intensity on CAD risk HOLDING PHYSICAL ACTIVITY VOLUME CONSTANT</w:t>
      </w:r>
    </w:p>
    <w:p w14:paraId="68D16782" w14:textId="77777777" w:rsidR="00292EBF" w:rsidRDefault="00292EBF" w:rsidP="00292EBF">
      <w:pPr>
        <w:pStyle w:val="ListParagraph"/>
        <w:numPr>
          <w:ilvl w:val="1"/>
          <w:numId w:val="1"/>
        </w:numPr>
        <w:rPr>
          <w:noProof/>
        </w:rPr>
      </w:pPr>
      <w:r>
        <w:rPr>
          <w:noProof/>
        </w:rPr>
        <w:t>Main issue here - Intensity and volume are naturally HIGHLY COLLINEAR (correlation = 0.69)</w:t>
      </w:r>
    </w:p>
    <w:p w14:paraId="447CCFA7" w14:textId="77777777" w:rsidR="00292EBF" w:rsidRDefault="00292EBF" w:rsidP="00292EBF">
      <w:pPr>
        <w:pStyle w:val="ListParagraph"/>
        <w:numPr>
          <w:ilvl w:val="1"/>
          <w:numId w:val="1"/>
        </w:numPr>
        <w:rPr>
          <w:noProof/>
        </w:rPr>
      </w:pPr>
      <w:r>
        <w:rPr>
          <w:noProof/>
        </w:rPr>
        <w:t>Oddly enough, the VIF including PA and %MVPA was relatively minor… While it was higher than for other variables, ALWAYS below 5.. Which suggests it isn’t a massive issue</w:t>
      </w:r>
    </w:p>
    <w:p w14:paraId="033702F4" w14:textId="77777777" w:rsidR="00292EBF" w:rsidRDefault="00292EBF" w:rsidP="00292EBF">
      <w:pPr>
        <w:pStyle w:val="ListParagraph"/>
        <w:numPr>
          <w:ilvl w:val="1"/>
          <w:numId w:val="1"/>
        </w:numPr>
        <w:rPr>
          <w:noProof/>
        </w:rPr>
      </w:pPr>
      <w:r>
        <w:rPr>
          <w:noProof/>
        </w:rPr>
        <w:t>How have others handled this question?</w:t>
      </w:r>
    </w:p>
    <w:p w14:paraId="7078F07A" w14:textId="77777777" w:rsidR="00292EBF" w:rsidRDefault="00292EBF" w:rsidP="00292EBF">
      <w:pPr>
        <w:pStyle w:val="ListParagraph"/>
        <w:numPr>
          <w:ilvl w:val="2"/>
          <w:numId w:val="1"/>
        </w:numPr>
        <w:rPr>
          <w:noProof/>
        </w:rPr>
      </w:pPr>
      <w:r>
        <w:rPr>
          <w:noProof/>
        </w:rPr>
        <w:t>Log and standardize PA in regression w/ MVPA and interact them (Strain et al)</w:t>
      </w:r>
    </w:p>
    <w:p w14:paraId="6AAE6E1C" w14:textId="77777777" w:rsidR="00292EBF" w:rsidRDefault="00292EBF" w:rsidP="00292EBF">
      <w:pPr>
        <w:pStyle w:val="ListParagraph"/>
        <w:numPr>
          <w:ilvl w:val="2"/>
          <w:numId w:val="1"/>
        </w:numPr>
        <w:rPr>
          <w:noProof/>
        </w:rPr>
      </w:pPr>
      <w:r>
        <w:rPr>
          <w:noProof/>
        </w:rPr>
        <w:lastRenderedPageBreak/>
        <w:t>Interact the “four orthogonal spline variables” in a regression including PA and % MVPA (no transformations as far as I can tell) (Dempsey et al.)</w:t>
      </w:r>
    </w:p>
    <w:p w14:paraId="40C30768" w14:textId="77777777" w:rsidR="00292EBF" w:rsidRDefault="00292EBF" w:rsidP="00292EBF">
      <w:pPr>
        <w:pStyle w:val="ListParagraph"/>
        <w:numPr>
          <w:ilvl w:val="2"/>
          <w:numId w:val="1"/>
        </w:numPr>
        <w:rPr>
          <w:noProof/>
        </w:rPr>
      </w:pPr>
      <w:r>
        <w:rPr>
          <w:noProof/>
        </w:rPr>
        <w:t>Compositional data analysis - Most rigorous and newest. One behavior can only increase at the expense of some other PA behaviors. Effective but a new rabbithole (Walmsley et al.)</w:t>
      </w:r>
    </w:p>
    <w:p w14:paraId="14FFF574" w14:textId="77777777" w:rsidR="00292EBF" w:rsidRDefault="00292EBF" w:rsidP="00292EBF">
      <w:pPr>
        <w:pStyle w:val="ListParagraph"/>
        <w:numPr>
          <w:ilvl w:val="1"/>
          <w:numId w:val="1"/>
        </w:numPr>
        <w:rPr>
          <w:noProof/>
        </w:rPr>
      </w:pPr>
      <w:r>
        <w:rPr>
          <w:noProof/>
        </w:rPr>
        <w:t>WEIRDNESS IN DEMPSEY RESULTS: (Simpson Paradox?)</w:t>
      </w:r>
    </w:p>
    <w:p w14:paraId="3A78205C" w14:textId="77777777" w:rsidR="00292EBF" w:rsidRDefault="00292EBF" w:rsidP="00292EBF">
      <w:pPr>
        <w:pStyle w:val="ListParagraph"/>
        <w:numPr>
          <w:ilvl w:val="2"/>
          <w:numId w:val="1"/>
        </w:numPr>
        <w:rPr>
          <w:noProof/>
        </w:rPr>
      </w:pPr>
      <w:r>
        <w:rPr>
          <w:noProof/>
        </w:rPr>
        <w:t xml:space="preserve">In </w:t>
      </w:r>
      <w:r w:rsidRPr="00D03DEE">
        <w:rPr>
          <w:b/>
          <w:bCs/>
          <w:noProof/>
        </w:rPr>
        <w:t>Table 3</w:t>
      </w:r>
      <w:r>
        <w:rPr>
          <w:noProof/>
        </w:rPr>
        <w:t xml:space="preserve"> of the paper, % MVPA has a consistent SIGNIFICANT effect at different PA levels on CVD risk.</w:t>
      </w:r>
    </w:p>
    <w:p w14:paraId="2D7E2C42" w14:textId="77777777" w:rsidR="00292EBF" w:rsidRDefault="00292EBF" w:rsidP="00292EBF">
      <w:pPr>
        <w:pStyle w:val="ListParagraph"/>
        <w:numPr>
          <w:ilvl w:val="2"/>
          <w:numId w:val="1"/>
        </w:numPr>
        <w:rPr>
          <w:noProof/>
        </w:rPr>
      </w:pPr>
      <w:r>
        <w:rPr>
          <w:noProof/>
        </w:rPr>
        <w:t xml:space="preserve">HOWEVER, in </w:t>
      </w:r>
      <w:r w:rsidRPr="00D03DEE">
        <w:rPr>
          <w:b/>
          <w:bCs/>
          <w:noProof/>
        </w:rPr>
        <w:t>Table S4</w:t>
      </w:r>
      <w:r>
        <w:rPr>
          <w:noProof/>
        </w:rPr>
        <w:t xml:space="preserve"> of the supplement, the authors perform same analysis sex stratified and get largely null results. Is this simply a statistical power issue? The effect sizes also look diminished.</w:t>
      </w:r>
    </w:p>
    <w:p w14:paraId="5C74BAB7" w14:textId="09938F29" w:rsidR="00292EBF" w:rsidRPr="00292EBF" w:rsidRDefault="00292EBF" w:rsidP="00292EBF">
      <w:pPr>
        <w:pStyle w:val="ListParagraph"/>
        <w:numPr>
          <w:ilvl w:val="2"/>
          <w:numId w:val="1"/>
        </w:numPr>
        <w:rPr>
          <w:noProof/>
        </w:rPr>
      </w:pPr>
      <w:r>
        <w:rPr>
          <w:noProof/>
        </w:rPr>
        <w:t xml:space="preserve">Why do I care? </w:t>
      </w:r>
      <w:r w:rsidRPr="00D03DEE">
        <w:rPr>
          <w:b/>
          <w:bCs/>
          <w:noProof/>
        </w:rPr>
        <w:t xml:space="preserve">BECAUSE MY ANALYSES ARE YIELDING RESULTS MORE IN LINE WITH TABLE </w:t>
      </w:r>
      <w:commentRangeStart w:id="0"/>
      <w:commentRangeStart w:id="1"/>
      <w:r w:rsidRPr="00D03DEE">
        <w:rPr>
          <w:b/>
          <w:bCs/>
          <w:noProof/>
        </w:rPr>
        <w:t>S4</w:t>
      </w:r>
      <w:commentRangeEnd w:id="0"/>
      <w:r>
        <w:rPr>
          <w:rStyle w:val="CommentReference"/>
        </w:rPr>
        <w:commentReference w:id="0"/>
      </w:r>
      <w:commentRangeEnd w:id="1"/>
      <w:r>
        <w:rPr>
          <w:rStyle w:val="CommentReference"/>
        </w:rPr>
        <w:commentReference w:id="1"/>
      </w:r>
    </w:p>
    <w:p w14:paraId="7CE7DF13" w14:textId="24002D49" w:rsidR="00292EBF" w:rsidRDefault="00292EBF" w:rsidP="00292EBF">
      <w:pPr>
        <w:rPr>
          <w:noProof/>
        </w:rPr>
      </w:pPr>
    </w:p>
    <w:p w14:paraId="70F52AAA" w14:textId="77777777" w:rsidR="00292EBF" w:rsidRDefault="00292EBF" w:rsidP="00292EBF">
      <w:pPr>
        <w:pStyle w:val="ListParagraph"/>
        <w:numPr>
          <w:ilvl w:val="0"/>
          <w:numId w:val="1"/>
        </w:numPr>
        <w:rPr>
          <w:noProof/>
        </w:rPr>
      </w:pPr>
      <w:r>
        <w:rPr>
          <w:noProof/>
        </w:rPr>
        <w:t>Worth experimenting with percentile cutoffs? For now in our study, I’m using quintiles of genetic and PA risk for reference. I fear this could be too narrow/being done slightlly differently here (modeled continuously, so we’re looking at it at the THRESHOLD of these quintiles - right idea?). Considering also tertiles to match a lot of the literature that does NOT focus on modeling exposures continuously.</w:t>
      </w:r>
    </w:p>
    <w:p w14:paraId="35D61520" w14:textId="77777777" w:rsidR="00292EBF" w:rsidRDefault="00292EBF" w:rsidP="00292EBF">
      <w:pPr>
        <w:rPr>
          <w:noProof/>
        </w:rPr>
      </w:pPr>
    </w:p>
    <w:p w14:paraId="6784C9A8" w14:textId="2BD411CC" w:rsidR="00480D19" w:rsidRDefault="00480D19" w:rsidP="00087008">
      <w:pPr>
        <w:jc w:val="center"/>
      </w:pPr>
    </w:p>
    <w:p w14:paraId="01BB8DDD" w14:textId="133E0718" w:rsidR="00292EBF" w:rsidRDefault="00292EBF" w:rsidP="00087008">
      <w:pPr>
        <w:jc w:val="center"/>
      </w:pPr>
    </w:p>
    <w:p w14:paraId="4DA2D2DA" w14:textId="7A7FC956" w:rsidR="00292EBF" w:rsidRDefault="00292EBF" w:rsidP="00087008">
      <w:pPr>
        <w:jc w:val="center"/>
      </w:pPr>
    </w:p>
    <w:p w14:paraId="135BE7C6" w14:textId="02535DD1" w:rsidR="00292EBF" w:rsidRDefault="00292EBF" w:rsidP="00087008">
      <w:pPr>
        <w:jc w:val="center"/>
      </w:pPr>
    </w:p>
    <w:p w14:paraId="5342D837" w14:textId="466DA627" w:rsidR="00292EBF" w:rsidRDefault="00292EBF" w:rsidP="00087008">
      <w:pPr>
        <w:jc w:val="center"/>
      </w:pPr>
    </w:p>
    <w:p w14:paraId="2B13FFDB" w14:textId="7906C634" w:rsidR="00292EBF" w:rsidRDefault="00292EBF" w:rsidP="00292EBF"/>
    <w:p w14:paraId="13EEB6D9" w14:textId="47E96358" w:rsidR="00D543CB" w:rsidRDefault="00D543CB" w:rsidP="00292EBF"/>
    <w:p w14:paraId="5F950FDE" w14:textId="748E9CE0" w:rsidR="00D543CB" w:rsidRDefault="00D543CB" w:rsidP="00292EBF"/>
    <w:p w14:paraId="1E25266D" w14:textId="123FF08D" w:rsidR="00D543CB" w:rsidRDefault="00D543CB" w:rsidP="00292EBF"/>
    <w:p w14:paraId="39FC199B" w14:textId="176F149F" w:rsidR="00D543CB" w:rsidRDefault="00D543CB" w:rsidP="00292EBF"/>
    <w:p w14:paraId="1B76CBEA" w14:textId="377993AB" w:rsidR="00D543CB" w:rsidRDefault="00D543CB" w:rsidP="00292EBF"/>
    <w:p w14:paraId="4E22E1C9" w14:textId="77777777" w:rsidR="00D543CB" w:rsidRDefault="00D543CB" w:rsidP="00292EBF"/>
    <w:p w14:paraId="394B3320" w14:textId="1A445FD9" w:rsidR="00292EBF" w:rsidRPr="00292EBF" w:rsidRDefault="00292EBF" w:rsidP="00292EBF">
      <w:pPr>
        <w:jc w:val="center"/>
        <w:rPr>
          <w:b/>
          <w:bCs/>
        </w:rPr>
      </w:pPr>
      <w:r w:rsidRPr="00292EBF">
        <w:rPr>
          <w:b/>
          <w:bCs/>
        </w:rPr>
        <w:t>SAMPLE FIGURE:</w:t>
      </w:r>
    </w:p>
    <w:p w14:paraId="14F51FCE" w14:textId="77777777" w:rsidR="00292EBF" w:rsidRDefault="00292EBF" w:rsidP="00292EBF">
      <w:pPr>
        <w:jc w:val="center"/>
        <w:rPr>
          <w:b/>
          <w:bCs/>
        </w:rPr>
      </w:pPr>
      <w:r w:rsidRPr="001A5906">
        <w:rPr>
          <w:b/>
          <w:bCs/>
        </w:rPr>
        <w:t xml:space="preserve">Figure 1: Forest Plot of Genetic and </w:t>
      </w:r>
      <w:proofErr w:type="gramStart"/>
      <w:r w:rsidRPr="001A5906">
        <w:rPr>
          <w:b/>
          <w:bCs/>
        </w:rPr>
        <w:t>Overall</w:t>
      </w:r>
      <w:proofErr w:type="gramEnd"/>
      <w:r w:rsidRPr="001A5906">
        <w:rPr>
          <w:b/>
          <w:bCs/>
        </w:rPr>
        <w:t xml:space="preserve"> PA and Risk of Incident </w:t>
      </w:r>
      <w:commentRangeStart w:id="2"/>
      <w:r w:rsidRPr="001A5906">
        <w:rPr>
          <w:b/>
          <w:bCs/>
        </w:rPr>
        <w:t>CAD</w:t>
      </w:r>
      <w:commentRangeEnd w:id="2"/>
      <w:r>
        <w:rPr>
          <w:rStyle w:val="CommentReference"/>
        </w:rPr>
        <w:commentReference w:id="2"/>
      </w:r>
    </w:p>
    <w:tbl>
      <w:tblPr>
        <w:tblStyle w:val="TableGrid"/>
        <w:tblW w:w="0" w:type="auto"/>
        <w:tblLook w:val="04A0" w:firstRow="1" w:lastRow="0" w:firstColumn="1" w:lastColumn="0" w:noHBand="0" w:noVBand="1"/>
      </w:tblPr>
      <w:tblGrid>
        <w:gridCol w:w="9350"/>
      </w:tblGrid>
      <w:tr w:rsidR="00292EBF" w14:paraId="56681FA8" w14:textId="77777777" w:rsidTr="00023AE0">
        <w:tc>
          <w:tcPr>
            <w:tcW w:w="9350" w:type="dxa"/>
          </w:tcPr>
          <w:p w14:paraId="1AD1D8C3" w14:textId="77777777" w:rsidR="00292EBF" w:rsidRPr="004A4D3F" w:rsidRDefault="00292EBF" w:rsidP="00023AE0">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PA vs 40</w:t>
            </w:r>
            <w:r w:rsidRPr="004A4D3F">
              <w:rPr>
                <w:b/>
                <w:bCs/>
                <w:i/>
                <w:iCs/>
                <w:sz w:val="28"/>
                <w:szCs w:val="28"/>
                <w:vertAlign w:val="superscript"/>
              </w:rPr>
              <w:t>th</w:t>
            </w:r>
            <w:r w:rsidRPr="004A4D3F">
              <w:rPr>
                <w:b/>
                <w:bCs/>
                <w:i/>
                <w:iCs/>
                <w:sz w:val="28"/>
                <w:szCs w:val="28"/>
              </w:rPr>
              <w:t xml:space="preserve"> Percentile of PA</w:t>
            </w:r>
          </w:p>
          <w:p w14:paraId="7F7569C8" w14:textId="77777777" w:rsidR="00292EBF" w:rsidRDefault="00292EBF" w:rsidP="00023AE0">
            <w:pPr>
              <w:jc w:val="center"/>
              <w:rPr>
                <w:b/>
                <w:bCs/>
              </w:rPr>
            </w:pPr>
            <w:r>
              <w:rPr>
                <w:noProof/>
              </w:rPr>
              <w:drawing>
                <wp:inline distT="0" distB="0" distL="0" distR="0" wp14:anchorId="73934F90" wp14:editId="756037DA">
                  <wp:extent cx="4063364" cy="2394102"/>
                  <wp:effectExtent l="0" t="0" r="0" b="635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055" cy="2403347"/>
                          </a:xfrm>
                          <a:prstGeom prst="rect">
                            <a:avLst/>
                          </a:prstGeom>
                          <a:noFill/>
                          <a:ln>
                            <a:noFill/>
                          </a:ln>
                        </pic:spPr>
                      </pic:pic>
                    </a:graphicData>
                  </a:graphic>
                </wp:inline>
              </w:drawing>
            </w:r>
          </w:p>
        </w:tc>
      </w:tr>
    </w:tbl>
    <w:p w14:paraId="2A343F1C" w14:textId="77777777" w:rsidR="00292EBF" w:rsidRDefault="00292EBF" w:rsidP="00087008">
      <w:pPr>
        <w:jc w:val="center"/>
      </w:pPr>
    </w:p>
    <w:p w14:paraId="6C43F905" w14:textId="77777777" w:rsidR="00480D19" w:rsidRDefault="00480D19" w:rsidP="00087008">
      <w:pPr>
        <w:jc w:val="center"/>
      </w:pPr>
    </w:p>
    <w:p w14:paraId="661E5DF0" w14:textId="3606A4D1" w:rsidR="00480D19" w:rsidRDefault="00480D19" w:rsidP="00087008">
      <w:pPr>
        <w:jc w:val="center"/>
      </w:pPr>
    </w:p>
    <w:p w14:paraId="37EDBD98" w14:textId="78EDD86A" w:rsidR="00480D19" w:rsidRPr="00292EBF" w:rsidRDefault="00480D19" w:rsidP="00087008">
      <w:pPr>
        <w:jc w:val="center"/>
        <w:rPr>
          <w:b/>
          <w:bCs/>
        </w:rPr>
      </w:pPr>
      <w:r w:rsidRPr="00292EBF">
        <w:rPr>
          <w:b/>
          <w:bCs/>
        </w:rPr>
        <w:t>On Residential Course</w:t>
      </w:r>
    </w:p>
    <w:p w14:paraId="5794535E" w14:textId="50EA6B35" w:rsidR="00480D19" w:rsidRDefault="00480D19" w:rsidP="00087008">
      <w:pPr>
        <w:jc w:val="center"/>
      </w:pPr>
      <w:r>
        <w:t>TIMING FOR GRADES FOR BENEFITS AND RESPONSES (Plan is to finish responses today and benefits deliverable Friday)</w:t>
      </w:r>
    </w:p>
    <w:p w14:paraId="4C1FA23A" w14:textId="01C7C94E" w:rsidR="00480D19" w:rsidRDefault="00480D19" w:rsidP="00087008">
      <w:pPr>
        <w:jc w:val="center"/>
      </w:pPr>
      <w:r>
        <w:t>HEURISTIC MOVING FORWARD??</w:t>
      </w:r>
    </w:p>
    <w:p w14:paraId="5F61186B" w14:textId="2AF2B0E4" w:rsidR="00480D19" w:rsidRDefault="00480D19" w:rsidP="00087008">
      <w:pPr>
        <w:jc w:val="center"/>
      </w:pPr>
    </w:p>
    <w:p w14:paraId="3B78E382" w14:textId="77777777" w:rsidR="00480D19" w:rsidRDefault="00480D19" w:rsidP="00087008">
      <w:pPr>
        <w:jc w:val="center"/>
      </w:pPr>
    </w:p>
    <w:p w14:paraId="68487EC6" w14:textId="77777777" w:rsidR="00480D19" w:rsidRDefault="00480D19" w:rsidP="00087008">
      <w:pPr>
        <w:jc w:val="center"/>
      </w:pPr>
    </w:p>
    <w:sectPr w:rsidR="00480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6T00:03:00Z" w:initials="RS">
    <w:p w14:paraId="052BD70D" w14:textId="77777777" w:rsidR="00292EBF" w:rsidRDefault="00292EBF" w:rsidP="00292EBF">
      <w:pPr>
        <w:pStyle w:val="CommentText"/>
      </w:pPr>
      <w:r>
        <w:rPr>
          <w:rStyle w:val="CommentReference"/>
        </w:rPr>
        <w:annotationRef/>
      </w:r>
      <w:r>
        <w:t>From what info I have , our PA and %MVPA variables appear to have very similar distributions to Dempsey's… Seems unlikely to me statistical power is the entire reason for difference in results we have (could it just be attenuation + lower power?)</w:t>
      </w:r>
    </w:p>
  </w:comment>
  <w:comment w:id="1" w:author="Robert Schell" w:date="2023-03-16T00:03:00Z" w:initials="RS">
    <w:p w14:paraId="7DE5B5A8" w14:textId="77777777" w:rsidR="00292EBF" w:rsidRDefault="00292EBF" w:rsidP="00292EBF">
      <w:pPr>
        <w:pStyle w:val="CommentText"/>
      </w:pPr>
      <w:r>
        <w:rPr>
          <w:rStyle w:val="CommentReference"/>
        </w:rPr>
        <w:annotationRef/>
      </w:r>
      <w:r>
        <w:t>Either way, real problem is I think it's highly unlikely this is a true result in the sense it reflects an actual null relationship</w:t>
      </w:r>
    </w:p>
  </w:comment>
  <w:comment w:id="2" w:author="Robert Schell" w:date="2023-03-10T16:37:00Z" w:initials="RS">
    <w:p w14:paraId="074B9FCF" w14:textId="77777777" w:rsidR="00292EBF" w:rsidRDefault="00292EBF" w:rsidP="00292EBF">
      <w:pPr>
        <w:pStyle w:val="CommentText"/>
      </w:pPr>
      <w:r>
        <w:rPr>
          <w:rStyle w:val="CommentReference"/>
        </w:rPr>
        <w:annotationRef/>
      </w:r>
      <w:r>
        <w:t>I haven't figured out the ideal way to stack these figures (pretty annoying to do in ggplot…) so for now just putting them all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BD70D" w15:done="0"/>
  <w15:commentEx w15:paraId="7DE5B5A8" w15:paraIdParent="052BD70D" w15:done="0"/>
  <w15:commentEx w15:paraId="074B9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DB46" w16cex:dateUtc="2023-03-16T07:03:00Z"/>
  <w16cex:commentExtensible w16cex:durableId="27BCDB5C" w16cex:dateUtc="2023-03-16T07:03:00Z"/>
  <w16cex:commentExtensible w16cex:durableId="27B5DB4E" w16cex:dateUtc="2023-03-1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BD70D" w16cid:durableId="27BCDB46"/>
  <w16cid:commentId w16cid:paraId="7DE5B5A8" w16cid:durableId="27BCDB5C"/>
  <w16cid:commentId w16cid:paraId="074B9FCF" w16cid:durableId="27B5DB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2601"/>
    <w:multiLevelType w:val="hybridMultilevel"/>
    <w:tmpl w:val="917E3442"/>
    <w:lvl w:ilvl="0" w:tplc="4F2229A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88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8"/>
    <w:rsid w:val="00087008"/>
    <w:rsid w:val="00292EBF"/>
    <w:rsid w:val="003F2172"/>
    <w:rsid w:val="00480D19"/>
    <w:rsid w:val="00D5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FF10"/>
  <w15:chartTrackingRefBased/>
  <w15:docId w15:val="{E046E2DF-EFB8-48DD-89DE-D4753F56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2EBF"/>
    <w:rPr>
      <w:sz w:val="16"/>
      <w:szCs w:val="16"/>
    </w:rPr>
  </w:style>
  <w:style w:type="paragraph" w:styleId="CommentText">
    <w:name w:val="annotation text"/>
    <w:basedOn w:val="Normal"/>
    <w:link w:val="CommentTextChar"/>
    <w:uiPriority w:val="99"/>
    <w:unhideWhenUsed/>
    <w:rsid w:val="00292EBF"/>
    <w:pPr>
      <w:spacing w:line="240" w:lineRule="auto"/>
    </w:pPr>
    <w:rPr>
      <w:sz w:val="20"/>
      <w:szCs w:val="20"/>
    </w:rPr>
  </w:style>
  <w:style w:type="character" w:customStyle="1" w:styleId="CommentTextChar">
    <w:name w:val="Comment Text Char"/>
    <w:basedOn w:val="DefaultParagraphFont"/>
    <w:link w:val="CommentText"/>
    <w:uiPriority w:val="99"/>
    <w:rsid w:val="00292EBF"/>
    <w:rPr>
      <w:sz w:val="20"/>
      <w:szCs w:val="20"/>
    </w:rPr>
  </w:style>
  <w:style w:type="paragraph" w:styleId="ListParagraph">
    <w:name w:val="List Paragraph"/>
    <w:basedOn w:val="Normal"/>
    <w:uiPriority w:val="34"/>
    <w:qFormat/>
    <w:rsid w:val="0029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2</cp:revision>
  <dcterms:created xsi:type="dcterms:W3CDTF">2023-03-14T23:04:00Z</dcterms:created>
  <dcterms:modified xsi:type="dcterms:W3CDTF">2023-03-16T07:10:00Z</dcterms:modified>
</cp:coreProperties>
</file>