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5226" w14:textId="586578DA" w:rsidR="00965DA1" w:rsidRDefault="00965DA1" w:rsidP="00965DA1">
      <w:pPr>
        <w:jc w:val="center"/>
      </w:pPr>
      <w:r>
        <w:rPr>
          <w:noProof/>
        </w:rPr>
        <w:drawing>
          <wp:inline distT="0" distB="0" distL="0" distR="0" wp14:anchorId="3959E9F3" wp14:editId="3AC2A5F5">
            <wp:extent cx="8856345" cy="3634792"/>
            <wp:effectExtent l="0" t="0" r="190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0273" cy="36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CA9" w14:textId="7D2291C7" w:rsidR="00965DA1" w:rsidRDefault="00965DA1" w:rsidP="00965DA1">
      <w:pPr>
        <w:jc w:val="center"/>
      </w:pPr>
      <w:r>
        <w:t>Followed the process outlined by the Oxford Wearables group, which included only keeping those with good data calibration, an overall acceleration average of 100 mg or under, wear duration over 3 days, and 24 unique hours of wear in a 24-hour cycle.</w:t>
      </w:r>
    </w:p>
    <w:p w14:paraId="323F8424" w14:textId="31F27A97" w:rsidR="00965DA1" w:rsidRDefault="00965DA1" w:rsidP="00965DA1">
      <w:pPr>
        <w:jc w:val="center"/>
      </w:pPr>
      <w:r>
        <w:t xml:space="preserve">I have extremely high confidence that this worked because it yields virtually identical numbers (96,660 here vs 96,675 in Ramakrishnan in 2021 and 96,000 in Doherty in 2017) </w:t>
      </w:r>
    </w:p>
    <w:sectPr w:rsidR="00965DA1" w:rsidSect="00965D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A1"/>
    <w:rsid w:val="0096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BC73"/>
  <w15:chartTrackingRefBased/>
  <w15:docId w15:val="{C31038BA-D88C-47D7-BA26-705290FF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1</cp:revision>
  <dcterms:created xsi:type="dcterms:W3CDTF">2023-03-28T19:38:00Z</dcterms:created>
  <dcterms:modified xsi:type="dcterms:W3CDTF">2023-03-28T19:45:00Z</dcterms:modified>
</cp:coreProperties>
</file>