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68D5C" w14:textId="3E060951" w:rsidR="00857884" w:rsidRPr="00CF3EB1" w:rsidRDefault="00857884" w:rsidP="00857884">
      <w:pPr>
        <w:jc w:val="center"/>
        <w:rPr>
          <w:b/>
          <w:bCs/>
          <w:sz w:val="32"/>
          <w:szCs w:val="32"/>
        </w:rPr>
      </w:pPr>
      <w:r w:rsidRPr="00CF3EB1">
        <w:rPr>
          <w:b/>
          <w:bCs/>
          <w:sz w:val="32"/>
          <w:szCs w:val="32"/>
        </w:rPr>
        <w:t>UKB Sanity Checks Document</w:t>
      </w:r>
      <w:r w:rsidR="00CF3EB1" w:rsidRPr="00CF3EB1">
        <w:rPr>
          <w:b/>
          <w:bCs/>
          <w:sz w:val="32"/>
          <w:szCs w:val="32"/>
        </w:rPr>
        <w:t>:</w:t>
      </w:r>
    </w:p>
    <w:p w14:paraId="2D011FD2" w14:textId="5F9B5DA4" w:rsidR="00857884" w:rsidRDefault="00857884" w:rsidP="00857884">
      <w:pPr>
        <w:jc w:val="center"/>
      </w:pPr>
      <w:r>
        <w:t>6/17/2022</w:t>
      </w:r>
    </w:p>
    <w:p w14:paraId="586E7A62" w14:textId="579D43F0" w:rsidR="00270CF7" w:rsidRDefault="00726966" w:rsidP="00AC1729">
      <w:r>
        <w:t>There are several ways we can confirm that the genetic and phenotypic data was processed correctly</w:t>
      </w:r>
      <w:r w:rsidR="00270CF7">
        <w:t xml:space="preserve">, including a first stage and effect allele frequencies consistent with estimates produced by outside researchers, exploring the imputation quality of different genetic variants, and comparing our observational </w:t>
      </w:r>
      <w:r w:rsidR="004A36F0">
        <w:t xml:space="preserve">and MR </w:t>
      </w:r>
      <w:r w:rsidR="00270CF7">
        <w:t>results to those we found in the Health and Retirement Study.</w:t>
      </w:r>
    </w:p>
    <w:p w14:paraId="698F32B9" w14:textId="69340037" w:rsidR="00270CF7" w:rsidRDefault="00726966" w:rsidP="00AC1729">
      <w:r>
        <w:t xml:space="preserve">The first stage regressions, where we regress body mass index on genetic variants, can be compared to results from the genome-wide association study </w:t>
      </w:r>
      <w:r w:rsidR="00270CF7">
        <w:t xml:space="preserve">(GWAS) </w:t>
      </w:r>
      <w:r>
        <w:t>by Locke et al. and a UK Biobank-focused GWAS replication effort by the Neale Lab.</w:t>
      </w:r>
      <w:r w:rsidR="00270CF7">
        <w:t xml:space="preserve"> These effect estimates (represented as Betas) and standard errors should be extremely close in value.</w:t>
      </w:r>
    </w:p>
    <w:p w14:paraId="60F0C36E" w14:textId="3599DCF7" w:rsidR="00726966" w:rsidRDefault="00726966" w:rsidP="00AC1729">
      <w:r>
        <w:t>We selected the variants based on Locke et al.</w:t>
      </w:r>
      <w:r w:rsidR="00270CF7">
        <w:t>’s GWAS that explored genetic variants with significant effects on body mass index in a European sample</w:t>
      </w:r>
      <w:r>
        <w:t xml:space="preserve">, so </w:t>
      </w:r>
      <w:r w:rsidR="00270CF7">
        <w:t>while our effect sizes should not be identical, they should at least be directionally consistent and highly correlated. The Neale Lab performed the same GWAS for BMI using the UK Biobank dataset directly. While we have a different sample based on our inclusion criteria, our effect estimates for different genetic variants on body mass index should align very closely with Neale et al.’s results.</w:t>
      </w:r>
    </w:p>
    <w:p w14:paraId="0AF924A3" w14:textId="54328970" w:rsidR="00270CF7" w:rsidRDefault="00270CF7" w:rsidP="00270CF7">
      <w:r>
        <w:t xml:space="preserve">Next, I explored the effect allele frequencies in our dataset compared to those found in Neale and Locke. An effect allele frequency is the average </w:t>
      </w:r>
      <w:r w:rsidR="004A36F0">
        <w:t xml:space="preserve">proportion of alleles in the population that are effect alleles for each genetic variant. If our effect allele frequencies are </w:t>
      </w:r>
      <w:proofErr w:type="gramStart"/>
      <w:r w:rsidR="004A36F0">
        <w:t>similar to</w:t>
      </w:r>
      <w:proofErr w:type="gramEnd"/>
      <w:r w:rsidR="004A36F0">
        <w:t xml:space="preserve"> those found in the other two studies, it increases both the probability that we selected and processed the genetic variants correctly and that we did not accidentally flip an effect and non-effect allele for any variants.</w:t>
      </w:r>
      <w:r>
        <w:t xml:space="preserve"> </w:t>
      </w:r>
    </w:p>
    <w:p w14:paraId="68F6109D" w14:textId="2344C343" w:rsidR="00270CF7" w:rsidRDefault="004A36F0" w:rsidP="00AC1729">
      <w:r>
        <w:t xml:space="preserve">Because we used imputed genotype data, the imputation quality could </w:t>
      </w:r>
      <w:proofErr w:type="gramStart"/>
      <w:r>
        <w:t>have an effect on</w:t>
      </w:r>
      <w:proofErr w:type="gramEnd"/>
      <w:r>
        <w:t xml:space="preserve"> our results. One way of measuring imputation quality is the INFO Score, which measures what the effective sample size is for each imputed genetic variant. Generally, the strictest threshold in the literature is that each genetic variant has an imputation score at least as high as 0.8.</w:t>
      </w:r>
    </w:p>
    <w:p w14:paraId="1C74F7BC" w14:textId="66B25757" w:rsidR="004A36F0" w:rsidRDefault="004A36F0" w:rsidP="00AC1729">
      <w:r>
        <w:t>Lastly, we can explore the effect size differences between our observational and MR models in the Health and Retirement Study and UK Biobank. While the small sample size of the HRS (and comparatively strong first stage) might suggest the estimates will diverge somewhat, an enormous effect size divergence would come as a surprise.</w:t>
      </w:r>
    </w:p>
    <w:p w14:paraId="000DB1D4" w14:textId="3DDEE03B" w:rsidR="004A36F0" w:rsidRPr="00D15546" w:rsidRDefault="00D15546" w:rsidP="00AC1729">
      <w:pPr>
        <w:rPr>
          <w:b/>
          <w:bCs/>
        </w:rPr>
      </w:pPr>
      <w:r w:rsidRPr="00D15546">
        <w:rPr>
          <w:b/>
          <w:bCs/>
        </w:rPr>
        <w:t>Important Limitation:</w:t>
      </w:r>
    </w:p>
    <w:p w14:paraId="2A4D1DF0" w14:textId="48D53034" w:rsidR="00D15546" w:rsidRDefault="00D15546" w:rsidP="00AC1729">
      <w:r>
        <w:t>Unfortunately, because an MR survival analysis has never been applied to explore the effect of BMI on risk of CVD, we lack any precedent to explore the plausibility of the second stage regressions (which for the IVW and weighted median models is incident CVD regressed on the genetic variants).</w:t>
      </w:r>
    </w:p>
    <w:p w14:paraId="35A7242A" w14:textId="3121337E" w:rsidR="00D15546" w:rsidRDefault="00D15546" w:rsidP="00AC1729">
      <w:r>
        <w:t xml:space="preserve">The key point for this second stage is that if the first stage passes muster, as long as our incident CVD case definition is being processed and we have </w:t>
      </w:r>
      <w:proofErr w:type="gramStart"/>
      <w:r>
        <w:t>follow</w:t>
      </w:r>
      <w:proofErr w:type="gramEnd"/>
      <w:r>
        <w:t xml:space="preserve"> up time coded correctly, then there’s no obvious reason the second stage should be inaccurate.</w:t>
      </w:r>
    </w:p>
    <w:p w14:paraId="19D195DF" w14:textId="77777777" w:rsidR="00726966" w:rsidRDefault="00726966" w:rsidP="00315269"/>
    <w:p w14:paraId="1AC29778" w14:textId="77777777" w:rsidR="00550F75" w:rsidRDefault="00550F75" w:rsidP="00550F75">
      <w:pPr>
        <w:jc w:val="center"/>
        <w:rPr>
          <w:b/>
          <w:bCs/>
          <w:i/>
          <w:iCs/>
          <w:sz w:val="40"/>
          <w:szCs w:val="40"/>
        </w:rPr>
      </w:pPr>
      <w:r w:rsidRPr="00A44EFF">
        <w:rPr>
          <w:b/>
          <w:bCs/>
          <w:i/>
          <w:iCs/>
          <w:sz w:val="40"/>
          <w:szCs w:val="40"/>
        </w:rPr>
        <w:lastRenderedPageBreak/>
        <w:t>TABLE OF CONTENTS</w:t>
      </w:r>
      <w:r>
        <w:rPr>
          <w:b/>
          <w:bCs/>
          <w:i/>
          <w:iCs/>
          <w:sz w:val="40"/>
          <w:szCs w:val="40"/>
        </w:rPr>
        <w:t xml:space="preserve"> (Link to Rest of Document)</w:t>
      </w:r>
    </w:p>
    <w:p w14:paraId="3639A01A" w14:textId="07E15D28" w:rsidR="00550F75" w:rsidRPr="00550F75" w:rsidRDefault="00550F75" w:rsidP="00550F75">
      <w:pPr>
        <w:jc w:val="center"/>
        <w:rPr>
          <w:b/>
          <w:bCs/>
          <w:i/>
          <w:iCs/>
          <w:sz w:val="48"/>
          <w:szCs w:val="48"/>
        </w:rPr>
      </w:pPr>
      <w:r>
        <w:rPr>
          <w:b/>
          <w:bCs/>
          <w:i/>
          <w:iCs/>
          <w:sz w:val="48"/>
          <w:szCs w:val="48"/>
        </w:rPr>
        <w:t>Sanity Checklist:</w:t>
      </w:r>
    </w:p>
    <w:p w14:paraId="04D0D9DF" w14:textId="07ACC8BF" w:rsidR="00550F75" w:rsidRPr="00A9749A" w:rsidRDefault="00A9749A" w:rsidP="00550F75">
      <w:pPr>
        <w:pStyle w:val="ListParagraph"/>
        <w:numPr>
          <w:ilvl w:val="0"/>
          <w:numId w:val="3"/>
        </w:numPr>
        <w:spacing w:line="480" w:lineRule="auto"/>
        <w:rPr>
          <w:rStyle w:val="Hyperlink"/>
          <w:i/>
          <w:iCs/>
          <w:sz w:val="28"/>
          <w:szCs w:val="28"/>
        </w:rPr>
      </w:pPr>
      <w:r>
        <w:rPr>
          <w:i/>
          <w:iCs/>
          <w:sz w:val="28"/>
          <w:szCs w:val="28"/>
        </w:rPr>
        <w:fldChar w:fldCharType="begin"/>
      </w:r>
      <w:r>
        <w:rPr>
          <w:i/>
          <w:iCs/>
          <w:sz w:val="28"/>
          <w:szCs w:val="28"/>
        </w:rPr>
        <w:instrText xml:space="preserve"> HYPERLINK  \l "BETA" </w:instrText>
      </w:r>
      <w:r>
        <w:rPr>
          <w:i/>
          <w:iCs/>
          <w:sz w:val="28"/>
          <w:szCs w:val="28"/>
        </w:rPr>
      </w:r>
      <w:r>
        <w:rPr>
          <w:i/>
          <w:iCs/>
          <w:sz w:val="28"/>
          <w:szCs w:val="28"/>
        </w:rPr>
        <w:fldChar w:fldCharType="separate"/>
      </w:r>
      <w:r w:rsidR="00550F75" w:rsidRPr="00A9749A">
        <w:rPr>
          <w:rStyle w:val="Hyperlink"/>
          <w:i/>
          <w:iCs/>
          <w:sz w:val="28"/>
          <w:szCs w:val="28"/>
        </w:rPr>
        <w:t>Beta and Standard Error Comparison with Locke et al. and Neale Lab</w:t>
      </w:r>
    </w:p>
    <w:p w14:paraId="25021D98" w14:textId="12B0BB50" w:rsidR="00550F75" w:rsidRPr="00550F75" w:rsidRDefault="00A9749A" w:rsidP="00550F75">
      <w:pPr>
        <w:pStyle w:val="ListParagraph"/>
        <w:numPr>
          <w:ilvl w:val="0"/>
          <w:numId w:val="3"/>
        </w:numPr>
        <w:spacing w:line="480" w:lineRule="auto"/>
        <w:rPr>
          <w:i/>
          <w:iCs/>
          <w:sz w:val="28"/>
          <w:szCs w:val="28"/>
        </w:rPr>
      </w:pPr>
      <w:r>
        <w:rPr>
          <w:i/>
          <w:iCs/>
          <w:sz w:val="28"/>
          <w:szCs w:val="28"/>
        </w:rPr>
        <w:fldChar w:fldCharType="end"/>
      </w:r>
      <w:hyperlink w:anchor="EAF" w:history="1">
        <w:r w:rsidR="00550F75" w:rsidRPr="00A9749A">
          <w:rPr>
            <w:rStyle w:val="Hyperlink"/>
            <w:i/>
            <w:iCs/>
            <w:sz w:val="28"/>
            <w:szCs w:val="28"/>
          </w:rPr>
          <w:t>Effect Allele Comparison with Locke et al. and Neale Lab</w:t>
        </w:r>
      </w:hyperlink>
    </w:p>
    <w:p w14:paraId="7B42063C" w14:textId="3D654A6A" w:rsidR="00550F75" w:rsidRPr="00550F75" w:rsidRDefault="00000000" w:rsidP="00550F75">
      <w:pPr>
        <w:pStyle w:val="ListParagraph"/>
        <w:numPr>
          <w:ilvl w:val="0"/>
          <w:numId w:val="3"/>
        </w:numPr>
        <w:spacing w:line="480" w:lineRule="auto"/>
        <w:rPr>
          <w:i/>
          <w:iCs/>
          <w:sz w:val="28"/>
          <w:szCs w:val="28"/>
        </w:rPr>
      </w:pPr>
      <w:hyperlink w:anchor="IMPUTE" w:history="1">
        <w:r w:rsidR="00550F75" w:rsidRPr="00A9749A">
          <w:rPr>
            <w:rStyle w:val="Hyperlink"/>
            <w:i/>
            <w:iCs/>
            <w:sz w:val="28"/>
            <w:szCs w:val="28"/>
          </w:rPr>
          <w:t>Genetic Variant Imputation Quality Summary</w:t>
        </w:r>
      </w:hyperlink>
    </w:p>
    <w:p w14:paraId="76BE89EE" w14:textId="77777777" w:rsidR="00550F75" w:rsidRDefault="00550F75" w:rsidP="00857884">
      <w:pPr>
        <w:jc w:val="center"/>
      </w:pPr>
    </w:p>
    <w:p w14:paraId="522AC5F3" w14:textId="77777777" w:rsidR="00550F75" w:rsidRDefault="00550F75" w:rsidP="00857884">
      <w:pPr>
        <w:jc w:val="center"/>
      </w:pPr>
    </w:p>
    <w:p w14:paraId="60CF3224" w14:textId="77777777" w:rsidR="00550F75" w:rsidRDefault="00550F75" w:rsidP="00857884">
      <w:pPr>
        <w:jc w:val="center"/>
      </w:pPr>
    </w:p>
    <w:p w14:paraId="73B2F675" w14:textId="77777777" w:rsidR="00550F75" w:rsidRDefault="00550F75" w:rsidP="00857884">
      <w:pPr>
        <w:jc w:val="center"/>
      </w:pPr>
    </w:p>
    <w:p w14:paraId="7AB0CC31" w14:textId="77777777" w:rsidR="00550F75" w:rsidRDefault="00550F75" w:rsidP="00857884">
      <w:pPr>
        <w:jc w:val="center"/>
      </w:pPr>
    </w:p>
    <w:p w14:paraId="028BE31E" w14:textId="77777777" w:rsidR="00550F75" w:rsidRDefault="00550F75" w:rsidP="00857884">
      <w:pPr>
        <w:jc w:val="center"/>
      </w:pPr>
    </w:p>
    <w:p w14:paraId="1F66AE3E" w14:textId="77777777" w:rsidR="00550F75" w:rsidRDefault="00550F75" w:rsidP="00857884">
      <w:pPr>
        <w:jc w:val="center"/>
      </w:pPr>
    </w:p>
    <w:p w14:paraId="0247E255" w14:textId="03B214EA" w:rsidR="00550F75" w:rsidRDefault="00550F75" w:rsidP="00857884">
      <w:pPr>
        <w:jc w:val="center"/>
      </w:pPr>
    </w:p>
    <w:p w14:paraId="61D90CE7" w14:textId="5ED0E716" w:rsidR="00550F75" w:rsidRDefault="00550F75" w:rsidP="00857884">
      <w:pPr>
        <w:jc w:val="center"/>
      </w:pPr>
    </w:p>
    <w:p w14:paraId="0F3E29C9" w14:textId="5AAF4C2D" w:rsidR="00550F75" w:rsidRDefault="00550F75" w:rsidP="00857884">
      <w:pPr>
        <w:jc w:val="center"/>
      </w:pPr>
    </w:p>
    <w:p w14:paraId="120A53E2" w14:textId="3140D068" w:rsidR="005615EA" w:rsidRDefault="005615EA" w:rsidP="00857884">
      <w:pPr>
        <w:jc w:val="center"/>
      </w:pPr>
    </w:p>
    <w:p w14:paraId="1E87EE50" w14:textId="5FCE464E" w:rsidR="005615EA" w:rsidRDefault="005615EA" w:rsidP="00857884">
      <w:pPr>
        <w:jc w:val="center"/>
      </w:pPr>
    </w:p>
    <w:p w14:paraId="076C16F9" w14:textId="58BA12DE" w:rsidR="005615EA" w:rsidRDefault="005615EA" w:rsidP="00857884">
      <w:pPr>
        <w:jc w:val="center"/>
      </w:pPr>
    </w:p>
    <w:p w14:paraId="7572A244" w14:textId="49C7FFD1" w:rsidR="005615EA" w:rsidRDefault="005615EA" w:rsidP="00857884">
      <w:pPr>
        <w:jc w:val="center"/>
      </w:pPr>
    </w:p>
    <w:p w14:paraId="18ADCB2C" w14:textId="5E580D15" w:rsidR="005615EA" w:rsidRDefault="005615EA" w:rsidP="00857884">
      <w:pPr>
        <w:jc w:val="center"/>
      </w:pPr>
    </w:p>
    <w:p w14:paraId="72FABE03" w14:textId="18585BB3" w:rsidR="005615EA" w:rsidRDefault="005615EA" w:rsidP="00857884">
      <w:pPr>
        <w:jc w:val="center"/>
      </w:pPr>
    </w:p>
    <w:p w14:paraId="10C29701" w14:textId="1427C4F4" w:rsidR="005615EA" w:rsidRDefault="005615EA" w:rsidP="00857884">
      <w:pPr>
        <w:jc w:val="center"/>
      </w:pPr>
    </w:p>
    <w:p w14:paraId="54BB71F9" w14:textId="3610332D" w:rsidR="005615EA" w:rsidRDefault="005615EA" w:rsidP="00857884">
      <w:pPr>
        <w:jc w:val="center"/>
      </w:pPr>
    </w:p>
    <w:p w14:paraId="7DF074EE" w14:textId="77777777" w:rsidR="005615EA" w:rsidRDefault="005615EA" w:rsidP="00857884">
      <w:pPr>
        <w:jc w:val="center"/>
      </w:pPr>
    </w:p>
    <w:p w14:paraId="68DF0AAB" w14:textId="77777777" w:rsidR="0098076C" w:rsidRDefault="0098076C" w:rsidP="00857884">
      <w:pPr>
        <w:jc w:val="center"/>
      </w:pPr>
    </w:p>
    <w:p w14:paraId="40322C51" w14:textId="075F1BC7" w:rsidR="00550F75" w:rsidRPr="00550F75" w:rsidRDefault="00550F75" w:rsidP="00CC6531">
      <w:pPr>
        <w:pStyle w:val="ListParagraph"/>
        <w:numPr>
          <w:ilvl w:val="0"/>
          <w:numId w:val="4"/>
        </w:numPr>
        <w:spacing w:line="480" w:lineRule="auto"/>
        <w:jc w:val="center"/>
        <w:rPr>
          <w:i/>
          <w:iCs/>
          <w:sz w:val="28"/>
          <w:szCs w:val="28"/>
        </w:rPr>
      </w:pPr>
      <w:bookmarkStart w:id="0" w:name="BETA"/>
      <w:r w:rsidRPr="00550F75">
        <w:rPr>
          <w:i/>
          <w:iCs/>
          <w:sz w:val="28"/>
          <w:szCs w:val="28"/>
        </w:rPr>
        <w:lastRenderedPageBreak/>
        <w:t>Beta and Standard Error Comparison with Locke et al. and Neale Lab</w:t>
      </w:r>
    </w:p>
    <w:bookmarkEnd w:id="0"/>
    <w:p w14:paraId="66643E48" w14:textId="413751BF" w:rsidR="00857884" w:rsidRDefault="000D1E80" w:rsidP="00857884">
      <w:pPr>
        <w:jc w:val="center"/>
      </w:pPr>
      <w:r>
        <w:t>Relevant Documents:</w:t>
      </w:r>
    </w:p>
    <w:p w14:paraId="609A1C7D" w14:textId="150BC6F1" w:rsidR="000D1E80" w:rsidRDefault="000D1E80" w:rsidP="00857884">
      <w:pPr>
        <w:jc w:val="center"/>
      </w:pPr>
      <w:r>
        <w:t>“Replicating Results from Neale Lab BMI GWAS.</w:t>
      </w:r>
      <w:commentRangeStart w:id="1"/>
      <w:commentRangeStart w:id="2"/>
      <w:r>
        <w:t>docx</w:t>
      </w:r>
      <w:commentRangeEnd w:id="1"/>
      <w:r>
        <w:rPr>
          <w:rStyle w:val="CommentReference"/>
        </w:rPr>
        <w:commentReference w:id="1"/>
      </w:r>
      <w:commentRangeEnd w:id="2"/>
      <w:r w:rsidR="001A2618">
        <w:rPr>
          <w:rStyle w:val="CommentReference"/>
        </w:rPr>
        <w:commentReference w:id="2"/>
      </w:r>
      <w:r>
        <w:t>”</w:t>
      </w:r>
    </w:p>
    <w:p w14:paraId="02D68574" w14:textId="5D879C44" w:rsidR="00A22503" w:rsidRDefault="00A22503" w:rsidP="00857884">
      <w:pPr>
        <w:jc w:val="center"/>
      </w:pPr>
      <w:r>
        <w:t>“BetaComparisonsFileNealeLockeUs.csv”</w:t>
      </w:r>
    </w:p>
    <w:p w14:paraId="3682CCCC" w14:textId="540FF2F9" w:rsidR="00A22503" w:rsidRDefault="00A22503" w:rsidP="00857884">
      <w:pPr>
        <w:jc w:val="center"/>
      </w:pPr>
      <w:r>
        <w:t>“LockenNealeBetas.csv”</w:t>
      </w:r>
    </w:p>
    <w:p w14:paraId="2ADB3FDF" w14:textId="2B977980" w:rsidR="00421D69" w:rsidRDefault="00421D69" w:rsidP="00421D69"/>
    <w:p w14:paraId="6D1CF193" w14:textId="5C4952E0" w:rsidR="001A2618" w:rsidRDefault="001A2618" w:rsidP="00421D69">
      <w:r>
        <w:t xml:space="preserve">The raw data comparing the effect and standard error estimates between our dataset, Locke et al., and the Neale Lab is in “BetaComparisonsFileNealeLockeUs.csv.” The regression itself is relatively simple, as it included only biological sex and the first 10 principal components to match the process detailed by the Neale Lab at </w:t>
      </w:r>
      <w:r w:rsidRPr="001A2618">
        <w:t>http://www.nealelab.is/blog/2017/9/11/details-and-considerations-of-the-uk-biobank-gwas</w:t>
      </w:r>
      <w:r>
        <w:t xml:space="preserve">. I summarize the results of these comparisons briefly below. </w:t>
      </w:r>
    </w:p>
    <w:p w14:paraId="32E68BB4" w14:textId="72753257" w:rsidR="001A2618" w:rsidRDefault="001A2618" w:rsidP="00421D69">
      <w:r>
        <w:t xml:space="preserve">Using the R File “Extracting Neale Lab Estimates UKB GWAS.R,” I found that our results correlated extremely well with those of both the Neale Lab and Locke et al., with </w:t>
      </w:r>
      <w:r w:rsidR="00615C33">
        <w:t>a correlation of 0.969 between the beta coefficients estimated in our dataset and those estimated by the Neale Lab and a correlation of 0.999 between our estimated standard errors and those estimated by the Neale Lab. Likewise, our results correlate strongly with Locke, as the beta coefficients and standard errors have a 0.873 and 0.927 correlation, respectively. The fact that these estimates align closely – and that the Neale Lab results are more highly correlated with ours than Locke et al. (which did not make use of the UK Biobank) increases my confidence in our results.</w:t>
      </w:r>
    </w:p>
    <w:p w14:paraId="15193649" w14:textId="49D88F52" w:rsidR="00615C33" w:rsidRDefault="00615C33" w:rsidP="00421D69">
      <w:r>
        <w:t xml:space="preserve">Below I’ve created a </w:t>
      </w:r>
      <w:r w:rsidR="00B2295E">
        <w:t>4-</w:t>
      </w:r>
      <w:r>
        <w:t xml:space="preserve">genetic variant comparison of betas and standard errors between studies to show how closely these variants’ estimates match those </w:t>
      </w:r>
      <w:r w:rsidR="00B2295E">
        <w:t>produced by the Neale Lab and Locke et al.</w:t>
      </w:r>
    </w:p>
    <w:p w14:paraId="13FF16A2" w14:textId="7BB78104" w:rsidR="00B2295E" w:rsidRPr="00B2295E" w:rsidRDefault="00B2295E" w:rsidP="00B2295E">
      <w:pPr>
        <w:jc w:val="center"/>
        <w:rPr>
          <w:b/>
          <w:bCs/>
        </w:rPr>
      </w:pPr>
      <w:r w:rsidRPr="00B2295E">
        <w:rPr>
          <w:b/>
          <w:bCs/>
        </w:rPr>
        <w:t>Table 1: Comparison of Betas and SEs for Four Variants from Our Dataset and Neale Lab</w:t>
      </w:r>
    </w:p>
    <w:tbl>
      <w:tblPr>
        <w:tblStyle w:val="TableGrid"/>
        <w:tblW w:w="0" w:type="auto"/>
        <w:tblLook w:val="04A0" w:firstRow="1" w:lastRow="0" w:firstColumn="1" w:lastColumn="0" w:noHBand="0" w:noVBand="1"/>
      </w:tblPr>
      <w:tblGrid>
        <w:gridCol w:w="1622"/>
        <w:gridCol w:w="1500"/>
        <w:gridCol w:w="1336"/>
        <w:gridCol w:w="1114"/>
        <w:gridCol w:w="1134"/>
        <w:gridCol w:w="1475"/>
        <w:gridCol w:w="1169"/>
      </w:tblGrid>
      <w:tr w:rsidR="00615C33" w:rsidRPr="0043437A" w14:paraId="0249A98A" w14:textId="7DA1E6F1" w:rsidTr="00615C33">
        <w:tc>
          <w:tcPr>
            <w:tcW w:w="1624" w:type="dxa"/>
          </w:tcPr>
          <w:p w14:paraId="64802EBB" w14:textId="60FB5A0B" w:rsidR="00615C33" w:rsidRPr="0043437A" w:rsidRDefault="00615C33" w:rsidP="00A02DA6">
            <w:pPr>
              <w:jc w:val="center"/>
              <w:rPr>
                <w:b/>
                <w:bCs/>
              </w:rPr>
            </w:pPr>
            <w:r w:rsidRPr="0043437A">
              <w:rPr>
                <w:b/>
                <w:bCs/>
              </w:rPr>
              <w:t>Variants</w:t>
            </w:r>
            <w:r>
              <w:rPr>
                <w:b/>
                <w:bCs/>
              </w:rPr>
              <w:t xml:space="preserve"> (</w:t>
            </w:r>
            <w:proofErr w:type="spellStart"/>
            <w:proofErr w:type="gramStart"/>
            <w:r>
              <w:rPr>
                <w:b/>
                <w:bCs/>
              </w:rPr>
              <w:t>Chr:Pos</w:t>
            </w:r>
            <w:proofErr w:type="spellEnd"/>
            <w:proofErr w:type="gramEnd"/>
            <w:r>
              <w:rPr>
                <w:b/>
                <w:bCs/>
              </w:rPr>
              <w:t>)</w:t>
            </w:r>
          </w:p>
        </w:tc>
        <w:tc>
          <w:tcPr>
            <w:tcW w:w="1503" w:type="dxa"/>
          </w:tcPr>
          <w:p w14:paraId="248DA7E8" w14:textId="1D46826F" w:rsidR="00615C33" w:rsidRPr="0043437A" w:rsidRDefault="00615C33" w:rsidP="00A02DA6">
            <w:pPr>
              <w:jc w:val="center"/>
              <w:rPr>
                <w:b/>
                <w:bCs/>
              </w:rPr>
            </w:pPr>
            <w:r>
              <w:rPr>
                <w:b/>
                <w:bCs/>
              </w:rPr>
              <w:t xml:space="preserve">Beta </w:t>
            </w:r>
            <w:r w:rsidRPr="0043437A">
              <w:rPr>
                <w:b/>
                <w:bCs/>
              </w:rPr>
              <w:t>From Our Dataset</w:t>
            </w:r>
          </w:p>
        </w:tc>
        <w:tc>
          <w:tcPr>
            <w:tcW w:w="1338" w:type="dxa"/>
          </w:tcPr>
          <w:p w14:paraId="696F3F4D" w14:textId="4DBD0F2F" w:rsidR="00615C33" w:rsidRPr="0043437A" w:rsidRDefault="00615C33" w:rsidP="00A02DA6">
            <w:pPr>
              <w:jc w:val="center"/>
              <w:rPr>
                <w:b/>
                <w:bCs/>
              </w:rPr>
            </w:pPr>
            <w:r>
              <w:rPr>
                <w:b/>
                <w:bCs/>
              </w:rPr>
              <w:t xml:space="preserve">SE </w:t>
            </w:r>
            <w:r w:rsidRPr="0043437A">
              <w:rPr>
                <w:b/>
                <w:bCs/>
              </w:rPr>
              <w:t>From Our Dataset</w:t>
            </w:r>
          </w:p>
        </w:tc>
        <w:tc>
          <w:tcPr>
            <w:tcW w:w="1115" w:type="dxa"/>
          </w:tcPr>
          <w:p w14:paraId="43B9BCFC" w14:textId="4ABC786C" w:rsidR="00615C33" w:rsidRDefault="00615C33" w:rsidP="00A02DA6">
            <w:pPr>
              <w:jc w:val="center"/>
              <w:rPr>
                <w:b/>
                <w:bCs/>
              </w:rPr>
            </w:pPr>
            <w:r>
              <w:rPr>
                <w:b/>
                <w:bCs/>
              </w:rPr>
              <w:t>Beta from Neale Lab</w:t>
            </w:r>
          </w:p>
        </w:tc>
        <w:tc>
          <w:tcPr>
            <w:tcW w:w="1135" w:type="dxa"/>
          </w:tcPr>
          <w:p w14:paraId="1D9D4CE3" w14:textId="7B23C6EA" w:rsidR="00615C33" w:rsidRDefault="00615C33" w:rsidP="00A02DA6">
            <w:pPr>
              <w:jc w:val="center"/>
              <w:rPr>
                <w:b/>
                <w:bCs/>
              </w:rPr>
            </w:pPr>
            <w:r>
              <w:rPr>
                <w:b/>
                <w:bCs/>
              </w:rPr>
              <w:t>SE From Neale Lab</w:t>
            </w:r>
          </w:p>
        </w:tc>
        <w:tc>
          <w:tcPr>
            <w:tcW w:w="1477" w:type="dxa"/>
          </w:tcPr>
          <w:p w14:paraId="6BDC6CDF" w14:textId="2CBCF282" w:rsidR="00615C33" w:rsidRPr="0043437A" w:rsidRDefault="00615C33" w:rsidP="00A02DA6">
            <w:pPr>
              <w:jc w:val="center"/>
              <w:rPr>
                <w:b/>
                <w:bCs/>
              </w:rPr>
            </w:pPr>
            <w:r>
              <w:rPr>
                <w:b/>
                <w:bCs/>
              </w:rPr>
              <w:t>Difference in Betas</w:t>
            </w:r>
          </w:p>
        </w:tc>
        <w:tc>
          <w:tcPr>
            <w:tcW w:w="1158" w:type="dxa"/>
          </w:tcPr>
          <w:p w14:paraId="4725A59C" w14:textId="1165DB44" w:rsidR="00615C33" w:rsidRDefault="00615C33" w:rsidP="00A02DA6">
            <w:pPr>
              <w:jc w:val="center"/>
              <w:rPr>
                <w:b/>
                <w:bCs/>
              </w:rPr>
            </w:pPr>
            <w:r>
              <w:rPr>
                <w:b/>
                <w:bCs/>
              </w:rPr>
              <w:t>Difference in SEs</w:t>
            </w:r>
          </w:p>
        </w:tc>
      </w:tr>
      <w:tr w:rsidR="00615C33" w14:paraId="40CEEC32" w14:textId="0A4F35DB" w:rsidTr="00615C33">
        <w:tc>
          <w:tcPr>
            <w:tcW w:w="1624" w:type="dxa"/>
          </w:tcPr>
          <w:p w14:paraId="5EF9D6CB" w14:textId="5A164BA1" w:rsidR="00615C33" w:rsidRPr="00B2295E" w:rsidRDefault="00615C33" w:rsidP="00B2295E">
            <w:pPr>
              <w:jc w:val="center"/>
              <w:rPr>
                <w:rFonts w:ascii="Calibri" w:hAnsi="Calibri" w:cs="Calibri"/>
                <w:b/>
                <w:bCs/>
                <w:color w:val="000000"/>
              </w:rPr>
            </w:pPr>
            <w:r w:rsidRPr="00B2295E">
              <w:rPr>
                <w:rFonts w:ascii="Calibri" w:hAnsi="Calibri" w:cs="Calibri"/>
                <w:b/>
                <w:bCs/>
                <w:color w:val="000000"/>
              </w:rPr>
              <w:t>1:110154688</w:t>
            </w:r>
          </w:p>
        </w:tc>
        <w:tc>
          <w:tcPr>
            <w:tcW w:w="1503" w:type="dxa"/>
          </w:tcPr>
          <w:p w14:paraId="31B2046A" w14:textId="334AE30F" w:rsidR="00615C33" w:rsidRPr="003732F3" w:rsidRDefault="00B2295E" w:rsidP="00B2295E">
            <w:pPr>
              <w:jc w:val="center"/>
              <w:rPr>
                <w:rFonts w:ascii="Calibri" w:hAnsi="Calibri" w:cs="Calibri"/>
                <w:color w:val="000000"/>
              </w:rPr>
            </w:pPr>
            <w:r>
              <w:rPr>
                <w:rFonts w:ascii="Calibri" w:hAnsi="Calibri" w:cs="Calibri"/>
                <w:color w:val="000000"/>
              </w:rPr>
              <w:t>0.069148</w:t>
            </w:r>
          </w:p>
        </w:tc>
        <w:tc>
          <w:tcPr>
            <w:tcW w:w="1338" w:type="dxa"/>
          </w:tcPr>
          <w:p w14:paraId="156018BF" w14:textId="47F5A22F" w:rsidR="00615C33" w:rsidRPr="003732F3" w:rsidRDefault="00B2295E" w:rsidP="00B2295E">
            <w:pPr>
              <w:jc w:val="center"/>
              <w:rPr>
                <w:rFonts w:ascii="Calibri" w:hAnsi="Calibri" w:cs="Calibri"/>
                <w:color w:val="000000"/>
              </w:rPr>
            </w:pPr>
            <w:r>
              <w:rPr>
                <w:rFonts w:ascii="Calibri" w:hAnsi="Calibri" w:cs="Calibri"/>
                <w:color w:val="000000"/>
              </w:rPr>
              <w:t>0.008756</w:t>
            </w:r>
          </w:p>
        </w:tc>
        <w:tc>
          <w:tcPr>
            <w:tcW w:w="1115" w:type="dxa"/>
          </w:tcPr>
          <w:p w14:paraId="0E736367" w14:textId="010B8CC7" w:rsidR="00615C33" w:rsidRDefault="00B2295E" w:rsidP="00B2295E">
            <w:pPr>
              <w:jc w:val="center"/>
              <w:rPr>
                <w:rFonts w:ascii="Calibri" w:hAnsi="Calibri" w:cs="Calibri"/>
                <w:color w:val="000000"/>
              </w:rPr>
            </w:pPr>
            <w:r>
              <w:rPr>
                <w:rFonts w:ascii="Calibri" w:hAnsi="Calibri" w:cs="Calibri"/>
                <w:color w:val="000000"/>
              </w:rPr>
              <w:t>0.0871</w:t>
            </w:r>
          </w:p>
        </w:tc>
        <w:tc>
          <w:tcPr>
            <w:tcW w:w="1135" w:type="dxa"/>
          </w:tcPr>
          <w:p w14:paraId="7FA55995" w14:textId="56D79EDC" w:rsidR="00615C33" w:rsidRDefault="00B2295E" w:rsidP="00B2295E">
            <w:pPr>
              <w:jc w:val="center"/>
              <w:rPr>
                <w:rFonts w:ascii="Calibri" w:hAnsi="Calibri" w:cs="Calibri"/>
                <w:color w:val="000000"/>
              </w:rPr>
            </w:pPr>
            <w:r>
              <w:rPr>
                <w:rFonts w:ascii="Calibri" w:hAnsi="Calibri" w:cs="Calibri"/>
                <w:color w:val="000000"/>
              </w:rPr>
              <w:t>0.008041</w:t>
            </w:r>
          </w:p>
        </w:tc>
        <w:tc>
          <w:tcPr>
            <w:tcW w:w="1477" w:type="dxa"/>
          </w:tcPr>
          <w:p w14:paraId="22A220BE" w14:textId="4A1BB1EF" w:rsidR="00615C33" w:rsidRDefault="00B2295E" w:rsidP="00B2295E">
            <w:pPr>
              <w:jc w:val="center"/>
              <w:rPr>
                <w:rFonts w:ascii="Calibri" w:hAnsi="Calibri" w:cs="Calibri"/>
                <w:color w:val="000000"/>
              </w:rPr>
            </w:pPr>
            <w:r>
              <w:rPr>
                <w:rFonts w:ascii="Calibri" w:hAnsi="Calibri" w:cs="Calibri"/>
                <w:color w:val="000000"/>
              </w:rPr>
              <w:t>0.017952</w:t>
            </w:r>
          </w:p>
        </w:tc>
        <w:tc>
          <w:tcPr>
            <w:tcW w:w="1158" w:type="dxa"/>
          </w:tcPr>
          <w:p w14:paraId="1BD1C06B" w14:textId="12D8D646" w:rsidR="00615C33" w:rsidRDefault="00B2295E" w:rsidP="00B2295E">
            <w:pPr>
              <w:jc w:val="center"/>
              <w:rPr>
                <w:rFonts w:ascii="Calibri" w:hAnsi="Calibri" w:cs="Calibri"/>
                <w:color w:val="000000"/>
              </w:rPr>
            </w:pPr>
            <w:r>
              <w:rPr>
                <w:rFonts w:ascii="Calibri" w:hAnsi="Calibri" w:cs="Calibri"/>
                <w:color w:val="000000"/>
              </w:rPr>
              <w:t>0.000715</w:t>
            </w:r>
          </w:p>
        </w:tc>
      </w:tr>
      <w:tr w:rsidR="00615C33" w14:paraId="5AF5D4EE" w14:textId="58CF82A4" w:rsidTr="00615C33">
        <w:tc>
          <w:tcPr>
            <w:tcW w:w="1624" w:type="dxa"/>
          </w:tcPr>
          <w:p w14:paraId="5D480577" w14:textId="7EA2DFC9" w:rsidR="00615C33" w:rsidRPr="00B2295E" w:rsidRDefault="00B2295E" w:rsidP="00B2295E">
            <w:pPr>
              <w:jc w:val="center"/>
              <w:rPr>
                <w:rFonts w:ascii="Calibri" w:hAnsi="Calibri" w:cs="Calibri"/>
                <w:b/>
                <w:bCs/>
                <w:color w:val="000000"/>
              </w:rPr>
            </w:pPr>
            <w:r w:rsidRPr="00B2295E">
              <w:rPr>
                <w:rFonts w:ascii="Calibri" w:hAnsi="Calibri" w:cs="Calibri"/>
                <w:b/>
                <w:bCs/>
                <w:color w:val="000000"/>
              </w:rPr>
              <w:t>1:177889480</w:t>
            </w:r>
          </w:p>
        </w:tc>
        <w:tc>
          <w:tcPr>
            <w:tcW w:w="1503" w:type="dxa"/>
          </w:tcPr>
          <w:p w14:paraId="2F069520" w14:textId="0A3F573B" w:rsidR="00615C33" w:rsidRPr="003732F3" w:rsidRDefault="00B2295E" w:rsidP="00B2295E">
            <w:pPr>
              <w:jc w:val="center"/>
              <w:rPr>
                <w:rFonts w:ascii="Calibri" w:hAnsi="Calibri" w:cs="Calibri"/>
                <w:color w:val="000000"/>
              </w:rPr>
            </w:pPr>
            <w:r>
              <w:rPr>
                <w:rFonts w:ascii="Calibri" w:hAnsi="Calibri" w:cs="Calibri"/>
                <w:color w:val="000000"/>
              </w:rPr>
              <w:t>0.047896</w:t>
            </w:r>
          </w:p>
        </w:tc>
        <w:tc>
          <w:tcPr>
            <w:tcW w:w="1338" w:type="dxa"/>
          </w:tcPr>
          <w:p w14:paraId="2A93BFDF" w14:textId="0058389D" w:rsidR="00615C33" w:rsidRPr="003732F3" w:rsidRDefault="00B2295E" w:rsidP="00B2295E">
            <w:pPr>
              <w:jc w:val="center"/>
              <w:rPr>
                <w:rFonts w:ascii="Calibri" w:hAnsi="Calibri" w:cs="Calibri"/>
                <w:color w:val="000000"/>
              </w:rPr>
            </w:pPr>
            <w:r>
              <w:rPr>
                <w:rFonts w:ascii="Calibri" w:hAnsi="Calibri" w:cs="Calibri"/>
                <w:color w:val="000000"/>
              </w:rPr>
              <w:t>0.003433</w:t>
            </w:r>
          </w:p>
        </w:tc>
        <w:tc>
          <w:tcPr>
            <w:tcW w:w="1115" w:type="dxa"/>
          </w:tcPr>
          <w:p w14:paraId="0687FEDA" w14:textId="172A2DFA" w:rsidR="00615C33" w:rsidRDefault="00B2295E" w:rsidP="00B2295E">
            <w:pPr>
              <w:jc w:val="center"/>
              <w:rPr>
                <w:rFonts w:ascii="Calibri" w:hAnsi="Calibri" w:cs="Calibri"/>
                <w:color w:val="000000"/>
              </w:rPr>
            </w:pPr>
            <w:r>
              <w:rPr>
                <w:rFonts w:ascii="Calibri" w:hAnsi="Calibri" w:cs="Calibri"/>
                <w:color w:val="000000"/>
              </w:rPr>
              <w:t>0.05877</w:t>
            </w:r>
          </w:p>
        </w:tc>
        <w:tc>
          <w:tcPr>
            <w:tcW w:w="1135" w:type="dxa"/>
          </w:tcPr>
          <w:p w14:paraId="66AD021C" w14:textId="2EDBBF92" w:rsidR="00615C33" w:rsidRDefault="00B2295E" w:rsidP="00B2295E">
            <w:pPr>
              <w:jc w:val="center"/>
              <w:rPr>
                <w:rFonts w:ascii="Calibri" w:hAnsi="Calibri" w:cs="Calibri"/>
                <w:color w:val="000000"/>
              </w:rPr>
            </w:pPr>
            <w:r>
              <w:rPr>
                <w:rFonts w:ascii="Calibri" w:hAnsi="Calibri" w:cs="Calibri"/>
                <w:color w:val="000000"/>
              </w:rPr>
              <w:t>0.003139</w:t>
            </w:r>
          </w:p>
        </w:tc>
        <w:tc>
          <w:tcPr>
            <w:tcW w:w="1477" w:type="dxa"/>
          </w:tcPr>
          <w:p w14:paraId="0134A04A" w14:textId="4925B14F" w:rsidR="00615C33" w:rsidRDefault="00B2295E" w:rsidP="00B2295E">
            <w:pPr>
              <w:jc w:val="center"/>
              <w:rPr>
                <w:rFonts w:ascii="Calibri" w:hAnsi="Calibri" w:cs="Calibri"/>
                <w:color w:val="000000"/>
              </w:rPr>
            </w:pPr>
            <w:r>
              <w:rPr>
                <w:rFonts w:ascii="Calibri" w:hAnsi="Calibri" w:cs="Calibri"/>
                <w:color w:val="000000"/>
              </w:rPr>
              <w:t>0.010874</w:t>
            </w:r>
          </w:p>
        </w:tc>
        <w:tc>
          <w:tcPr>
            <w:tcW w:w="1158" w:type="dxa"/>
          </w:tcPr>
          <w:p w14:paraId="2BD3A924" w14:textId="185C6D40" w:rsidR="00615C33" w:rsidRDefault="00B2295E" w:rsidP="00B2295E">
            <w:pPr>
              <w:jc w:val="center"/>
              <w:rPr>
                <w:rFonts w:ascii="Calibri" w:hAnsi="Calibri" w:cs="Calibri"/>
                <w:color w:val="000000"/>
              </w:rPr>
            </w:pPr>
            <w:r>
              <w:rPr>
                <w:rFonts w:ascii="Calibri" w:hAnsi="Calibri" w:cs="Calibri"/>
                <w:color w:val="000000"/>
              </w:rPr>
              <w:t>0.000294</w:t>
            </w:r>
          </w:p>
        </w:tc>
      </w:tr>
      <w:tr w:rsidR="00615C33" w14:paraId="6806ABF5" w14:textId="720CA291" w:rsidTr="00615C33">
        <w:tc>
          <w:tcPr>
            <w:tcW w:w="1624" w:type="dxa"/>
          </w:tcPr>
          <w:p w14:paraId="23F68216" w14:textId="606D8D23" w:rsidR="00615C33" w:rsidRPr="00B2295E" w:rsidRDefault="00B2295E" w:rsidP="00B2295E">
            <w:pPr>
              <w:jc w:val="center"/>
              <w:rPr>
                <w:rFonts w:ascii="Calibri" w:hAnsi="Calibri" w:cs="Calibri"/>
                <w:b/>
                <w:bCs/>
                <w:color w:val="000000"/>
              </w:rPr>
            </w:pPr>
            <w:r w:rsidRPr="00B2295E">
              <w:rPr>
                <w:rFonts w:ascii="Calibri" w:hAnsi="Calibri" w:cs="Calibri"/>
                <w:b/>
                <w:bCs/>
                <w:color w:val="000000"/>
              </w:rPr>
              <w:t>1:201784287</w:t>
            </w:r>
          </w:p>
        </w:tc>
        <w:tc>
          <w:tcPr>
            <w:tcW w:w="1503" w:type="dxa"/>
          </w:tcPr>
          <w:p w14:paraId="42E939D8" w14:textId="4043ADE2" w:rsidR="00615C33" w:rsidRPr="003732F3" w:rsidRDefault="00B2295E" w:rsidP="00B2295E">
            <w:pPr>
              <w:jc w:val="center"/>
              <w:rPr>
                <w:rFonts w:ascii="Calibri" w:hAnsi="Calibri" w:cs="Calibri"/>
                <w:color w:val="000000"/>
              </w:rPr>
            </w:pPr>
            <w:r>
              <w:rPr>
                <w:rFonts w:ascii="Calibri" w:hAnsi="Calibri" w:cs="Calibri"/>
                <w:color w:val="000000"/>
              </w:rPr>
              <w:t>0.019715</w:t>
            </w:r>
          </w:p>
        </w:tc>
        <w:tc>
          <w:tcPr>
            <w:tcW w:w="1338" w:type="dxa"/>
          </w:tcPr>
          <w:p w14:paraId="085CE19F" w14:textId="62773007" w:rsidR="00615C33" w:rsidRPr="00D52B5D" w:rsidRDefault="00D52B5D" w:rsidP="00D52B5D">
            <w:pPr>
              <w:jc w:val="center"/>
              <w:rPr>
                <w:rFonts w:ascii="Calibri" w:hAnsi="Calibri" w:cs="Calibri"/>
                <w:color w:val="000000"/>
              </w:rPr>
            </w:pPr>
            <w:r>
              <w:rPr>
                <w:rFonts w:ascii="Calibri" w:hAnsi="Calibri" w:cs="Calibri"/>
                <w:color w:val="000000"/>
              </w:rPr>
              <w:t>0.002808</w:t>
            </w:r>
          </w:p>
        </w:tc>
        <w:tc>
          <w:tcPr>
            <w:tcW w:w="1115" w:type="dxa"/>
          </w:tcPr>
          <w:p w14:paraId="3EABBA20" w14:textId="127639B2" w:rsidR="00615C33" w:rsidRPr="00D52B5D" w:rsidRDefault="00D52B5D" w:rsidP="00D52B5D">
            <w:pPr>
              <w:jc w:val="center"/>
              <w:rPr>
                <w:rFonts w:ascii="Calibri" w:hAnsi="Calibri" w:cs="Calibri"/>
                <w:color w:val="000000"/>
              </w:rPr>
            </w:pPr>
            <w:r>
              <w:rPr>
                <w:rFonts w:ascii="Calibri" w:hAnsi="Calibri" w:cs="Calibri"/>
                <w:color w:val="000000"/>
              </w:rPr>
              <w:t>0.02419</w:t>
            </w:r>
          </w:p>
        </w:tc>
        <w:tc>
          <w:tcPr>
            <w:tcW w:w="1135" w:type="dxa"/>
          </w:tcPr>
          <w:p w14:paraId="4F7F4571" w14:textId="7FC11F98" w:rsidR="00615C33" w:rsidRPr="00D52B5D" w:rsidRDefault="00D52B5D" w:rsidP="00D52B5D">
            <w:pPr>
              <w:jc w:val="center"/>
              <w:rPr>
                <w:rFonts w:ascii="Calibri" w:hAnsi="Calibri" w:cs="Calibri"/>
                <w:color w:val="000000"/>
              </w:rPr>
            </w:pPr>
            <w:r>
              <w:rPr>
                <w:rFonts w:ascii="Calibri" w:hAnsi="Calibri" w:cs="Calibri"/>
                <w:color w:val="000000"/>
              </w:rPr>
              <w:t>0.002568</w:t>
            </w:r>
          </w:p>
        </w:tc>
        <w:tc>
          <w:tcPr>
            <w:tcW w:w="1477" w:type="dxa"/>
          </w:tcPr>
          <w:p w14:paraId="6E48558B" w14:textId="010F7D8F" w:rsidR="00615C33" w:rsidRPr="00D52B5D" w:rsidRDefault="00D52B5D" w:rsidP="00D52B5D">
            <w:pPr>
              <w:jc w:val="center"/>
              <w:rPr>
                <w:rFonts w:ascii="Calibri" w:hAnsi="Calibri" w:cs="Calibri"/>
                <w:color w:val="000000"/>
              </w:rPr>
            </w:pPr>
            <w:r>
              <w:rPr>
                <w:rFonts w:ascii="Calibri" w:hAnsi="Calibri" w:cs="Calibri"/>
                <w:color w:val="000000"/>
              </w:rPr>
              <w:t>0.004475</w:t>
            </w:r>
          </w:p>
        </w:tc>
        <w:tc>
          <w:tcPr>
            <w:tcW w:w="1158" w:type="dxa"/>
          </w:tcPr>
          <w:p w14:paraId="69C5825E" w14:textId="59CF6E2A" w:rsidR="00615C33" w:rsidRPr="00D52B5D" w:rsidRDefault="00D52B5D" w:rsidP="00D52B5D">
            <w:pPr>
              <w:jc w:val="center"/>
              <w:rPr>
                <w:rFonts w:ascii="Calibri" w:hAnsi="Calibri" w:cs="Calibri"/>
                <w:color w:val="000000"/>
              </w:rPr>
            </w:pPr>
            <w:r>
              <w:rPr>
                <w:rFonts w:ascii="Calibri" w:hAnsi="Calibri" w:cs="Calibri"/>
                <w:color w:val="000000"/>
              </w:rPr>
              <w:t>0.00024</w:t>
            </w:r>
          </w:p>
        </w:tc>
      </w:tr>
      <w:tr w:rsidR="00615C33" w14:paraId="4E5E7D40" w14:textId="59274D5A" w:rsidTr="00615C33">
        <w:tc>
          <w:tcPr>
            <w:tcW w:w="1624" w:type="dxa"/>
          </w:tcPr>
          <w:p w14:paraId="62FFB696" w14:textId="5DEF8249" w:rsidR="00615C33" w:rsidRPr="00B2295E" w:rsidRDefault="00B2295E" w:rsidP="00B2295E">
            <w:pPr>
              <w:jc w:val="center"/>
              <w:rPr>
                <w:rFonts w:ascii="Calibri" w:hAnsi="Calibri" w:cs="Calibri"/>
                <w:b/>
                <w:bCs/>
                <w:color w:val="000000"/>
              </w:rPr>
            </w:pPr>
            <w:r w:rsidRPr="00B2295E">
              <w:rPr>
                <w:rFonts w:ascii="Calibri" w:hAnsi="Calibri" w:cs="Calibri"/>
                <w:b/>
                <w:bCs/>
                <w:color w:val="000000"/>
              </w:rPr>
              <w:t>1:47684677</w:t>
            </w:r>
          </w:p>
        </w:tc>
        <w:tc>
          <w:tcPr>
            <w:tcW w:w="1503" w:type="dxa"/>
          </w:tcPr>
          <w:p w14:paraId="070C7781" w14:textId="0E55B27F" w:rsidR="00615C33" w:rsidRPr="0043437A" w:rsidRDefault="00D52B5D" w:rsidP="00D52B5D">
            <w:pPr>
              <w:jc w:val="center"/>
              <w:rPr>
                <w:rFonts w:ascii="Calibri" w:hAnsi="Calibri" w:cs="Calibri"/>
                <w:color w:val="000000"/>
              </w:rPr>
            </w:pPr>
            <w:r>
              <w:rPr>
                <w:rFonts w:ascii="Calibri" w:hAnsi="Calibri" w:cs="Calibri"/>
                <w:color w:val="000000"/>
              </w:rPr>
              <w:t>0.017234</w:t>
            </w:r>
          </w:p>
        </w:tc>
        <w:tc>
          <w:tcPr>
            <w:tcW w:w="1338" w:type="dxa"/>
          </w:tcPr>
          <w:p w14:paraId="04514FA2" w14:textId="1100290E" w:rsidR="00615C33" w:rsidRPr="0043437A" w:rsidRDefault="00D52B5D" w:rsidP="00D52B5D">
            <w:pPr>
              <w:jc w:val="center"/>
              <w:rPr>
                <w:rFonts w:ascii="Calibri" w:hAnsi="Calibri" w:cs="Calibri"/>
                <w:color w:val="000000"/>
              </w:rPr>
            </w:pPr>
            <w:r>
              <w:rPr>
                <w:rFonts w:ascii="Calibri" w:hAnsi="Calibri" w:cs="Calibri"/>
                <w:color w:val="000000"/>
              </w:rPr>
              <w:t>0.002826</w:t>
            </w:r>
          </w:p>
        </w:tc>
        <w:tc>
          <w:tcPr>
            <w:tcW w:w="1115" w:type="dxa"/>
          </w:tcPr>
          <w:p w14:paraId="4FD0FD0F" w14:textId="0749B9E0" w:rsidR="00615C33" w:rsidRDefault="00D52B5D" w:rsidP="00D52B5D">
            <w:pPr>
              <w:jc w:val="center"/>
              <w:rPr>
                <w:rFonts w:ascii="Calibri" w:hAnsi="Calibri" w:cs="Calibri"/>
                <w:color w:val="000000"/>
              </w:rPr>
            </w:pPr>
            <w:r>
              <w:rPr>
                <w:rFonts w:ascii="Calibri" w:hAnsi="Calibri" w:cs="Calibri"/>
                <w:color w:val="000000"/>
              </w:rPr>
              <w:t>0.01386</w:t>
            </w:r>
          </w:p>
        </w:tc>
        <w:tc>
          <w:tcPr>
            <w:tcW w:w="1135" w:type="dxa"/>
          </w:tcPr>
          <w:p w14:paraId="3C1EB68B" w14:textId="28182279" w:rsidR="00615C33" w:rsidRDefault="00D52B5D" w:rsidP="00D52B5D">
            <w:pPr>
              <w:jc w:val="center"/>
              <w:rPr>
                <w:rFonts w:ascii="Calibri" w:hAnsi="Calibri" w:cs="Calibri"/>
                <w:color w:val="000000"/>
              </w:rPr>
            </w:pPr>
            <w:r>
              <w:rPr>
                <w:rFonts w:ascii="Calibri" w:hAnsi="Calibri" w:cs="Calibri"/>
                <w:color w:val="000000"/>
              </w:rPr>
              <w:t>0.002584</w:t>
            </w:r>
          </w:p>
        </w:tc>
        <w:tc>
          <w:tcPr>
            <w:tcW w:w="1477" w:type="dxa"/>
          </w:tcPr>
          <w:p w14:paraId="3E689D11" w14:textId="072A8CBE" w:rsidR="00615C33" w:rsidRDefault="00D52B5D" w:rsidP="00D52B5D">
            <w:pPr>
              <w:jc w:val="center"/>
              <w:rPr>
                <w:rFonts w:ascii="Calibri" w:hAnsi="Calibri" w:cs="Calibri"/>
                <w:color w:val="000000"/>
              </w:rPr>
            </w:pPr>
            <w:r>
              <w:rPr>
                <w:rFonts w:ascii="Calibri" w:hAnsi="Calibri" w:cs="Calibri"/>
                <w:color w:val="000000"/>
              </w:rPr>
              <w:t>0.003374</w:t>
            </w:r>
          </w:p>
        </w:tc>
        <w:tc>
          <w:tcPr>
            <w:tcW w:w="1158" w:type="dxa"/>
          </w:tcPr>
          <w:p w14:paraId="53CF638A" w14:textId="61058A42" w:rsidR="00615C33" w:rsidRDefault="00D52B5D" w:rsidP="00D52B5D">
            <w:pPr>
              <w:jc w:val="center"/>
              <w:rPr>
                <w:rFonts w:ascii="Calibri" w:hAnsi="Calibri" w:cs="Calibri"/>
                <w:color w:val="000000"/>
              </w:rPr>
            </w:pPr>
            <w:r>
              <w:rPr>
                <w:rFonts w:ascii="Calibri" w:hAnsi="Calibri" w:cs="Calibri"/>
                <w:color w:val="000000"/>
              </w:rPr>
              <w:t>0.000242</w:t>
            </w:r>
          </w:p>
        </w:tc>
      </w:tr>
    </w:tbl>
    <w:p w14:paraId="49BBD081" w14:textId="30BFB4B9" w:rsidR="001A2618" w:rsidRDefault="00D52B5D" w:rsidP="00D52B5D">
      <w:pPr>
        <w:jc w:val="center"/>
      </w:pPr>
      <w:r>
        <w:t>Note: Average Difference in Betas between our estimates and Neale Lab’s was 0.005 and the Average Difference in SEs was 0.0003.</w:t>
      </w:r>
    </w:p>
    <w:p w14:paraId="0A21A63D" w14:textId="77777777" w:rsidR="001A2618" w:rsidRDefault="001A2618" w:rsidP="001A2618"/>
    <w:p w14:paraId="29B7E8B0" w14:textId="11DF95CA" w:rsidR="001A2618" w:rsidRDefault="001A2618" w:rsidP="001A2618"/>
    <w:p w14:paraId="25E0A02E" w14:textId="77777777" w:rsidR="001A2618" w:rsidRDefault="001A2618" w:rsidP="001A2618"/>
    <w:p w14:paraId="356DDAF4" w14:textId="77777777" w:rsidR="001A2618" w:rsidRDefault="001A2618" w:rsidP="001A2618"/>
    <w:p w14:paraId="2C08BA84" w14:textId="322E7FCA" w:rsidR="00D52B5D" w:rsidRPr="00B2295E" w:rsidRDefault="00D52B5D" w:rsidP="00D52B5D">
      <w:pPr>
        <w:jc w:val="center"/>
        <w:rPr>
          <w:b/>
          <w:bCs/>
        </w:rPr>
      </w:pPr>
      <w:r w:rsidRPr="00B2295E">
        <w:rPr>
          <w:b/>
          <w:bCs/>
        </w:rPr>
        <w:lastRenderedPageBreak/>
        <w:t xml:space="preserve">Table </w:t>
      </w:r>
      <w:r>
        <w:rPr>
          <w:b/>
          <w:bCs/>
        </w:rPr>
        <w:t>2</w:t>
      </w:r>
      <w:r w:rsidRPr="00B2295E">
        <w:rPr>
          <w:b/>
          <w:bCs/>
        </w:rPr>
        <w:t xml:space="preserve">: Comparison of Betas and SEs for Four Variants from Our Dataset and </w:t>
      </w:r>
      <w:r>
        <w:rPr>
          <w:b/>
          <w:bCs/>
        </w:rPr>
        <w:t>Locke et al.</w:t>
      </w:r>
    </w:p>
    <w:tbl>
      <w:tblPr>
        <w:tblStyle w:val="TableGrid"/>
        <w:tblW w:w="0" w:type="auto"/>
        <w:tblLook w:val="04A0" w:firstRow="1" w:lastRow="0" w:firstColumn="1" w:lastColumn="0" w:noHBand="0" w:noVBand="1"/>
      </w:tblPr>
      <w:tblGrid>
        <w:gridCol w:w="1623"/>
        <w:gridCol w:w="1501"/>
        <w:gridCol w:w="1336"/>
        <w:gridCol w:w="1113"/>
        <w:gridCol w:w="1133"/>
        <w:gridCol w:w="1475"/>
        <w:gridCol w:w="1169"/>
      </w:tblGrid>
      <w:tr w:rsidR="00D52B5D" w:rsidRPr="0043437A" w14:paraId="4F29B171" w14:textId="77777777" w:rsidTr="00A02DA6">
        <w:tc>
          <w:tcPr>
            <w:tcW w:w="1624" w:type="dxa"/>
          </w:tcPr>
          <w:p w14:paraId="65E8336A" w14:textId="77777777" w:rsidR="00D52B5D" w:rsidRPr="0043437A" w:rsidRDefault="00D52B5D" w:rsidP="00A02DA6">
            <w:pPr>
              <w:jc w:val="center"/>
              <w:rPr>
                <w:b/>
                <w:bCs/>
              </w:rPr>
            </w:pPr>
            <w:r w:rsidRPr="0043437A">
              <w:rPr>
                <w:b/>
                <w:bCs/>
              </w:rPr>
              <w:t>Variants</w:t>
            </w:r>
            <w:r>
              <w:rPr>
                <w:b/>
                <w:bCs/>
              </w:rPr>
              <w:t xml:space="preserve"> (</w:t>
            </w:r>
            <w:proofErr w:type="spellStart"/>
            <w:proofErr w:type="gramStart"/>
            <w:r>
              <w:rPr>
                <w:b/>
                <w:bCs/>
              </w:rPr>
              <w:t>Chr:Pos</w:t>
            </w:r>
            <w:proofErr w:type="spellEnd"/>
            <w:proofErr w:type="gramEnd"/>
            <w:r>
              <w:rPr>
                <w:b/>
                <w:bCs/>
              </w:rPr>
              <w:t>)</w:t>
            </w:r>
          </w:p>
        </w:tc>
        <w:tc>
          <w:tcPr>
            <w:tcW w:w="1503" w:type="dxa"/>
          </w:tcPr>
          <w:p w14:paraId="18096511" w14:textId="77777777" w:rsidR="00D52B5D" w:rsidRPr="0043437A" w:rsidRDefault="00D52B5D" w:rsidP="00A02DA6">
            <w:pPr>
              <w:jc w:val="center"/>
              <w:rPr>
                <w:b/>
                <w:bCs/>
              </w:rPr>
            </w:pPr>
            <w:r>
              <w:rPr>
                <w:b/>
                <w:bCs/>
              </w:rPr>
              <w:t xml:space="preserve">Beta </w:t>
            </w:r>
            <w:r w:rsidRPr="0043437A">
              <w:rPr>
                <w:b/>
                <w:bCs/>
              </w:rPr>
              <w:t>From Our Dataset</w:t>
            </w:r>
          </w:p>
        </w:tc>
        <w:tc>
          <w:tcPr>
            <w:tcW w:w="1338" w:type="dxa"/>
          </w:tcPr>
          <w:p w14:paraId="3B7704CF" w14:textId="77777777" w:rsidR="00D52B5D" w:rsidRPr="0043437A" w:rsidRDefault="00D52B5D" w:rsidP="00A02DA6">
            <w:pPr>
              <w:jc w:val="center"/>
              <w:rPr>
                <w:b/>
                <w:bCs/>
              </w:rPr>
            </w:pPr>
            <w:r>
              <w:rPr>
                <w:b/>
                <w:bCs/>
              </w:rPr>
              <w:t xml:space="preserve">SE </w:t>
            </w:r>
            <w:r w:rsidRPr="0043437A">
              <w:rPr>
                <w:b/>
                <w:bCs/>
              </w:rPr>
              <w:t>From Our Dataset</w:t>
            </w:r>
          </w:p>
        </w:tc>
        <w:tc>
          <w:tcPr>
            <w:tcW w:w="1115" w:type="dxa"/>
          </w:tcPr>
          <w:p w14:paraId="6000458D" w14:textId="172C9763" w:rsidR="00D52B5D" w:rsidRDefault="00D52B5D" w:rsidP="00A02DA6">
            <w:pPr>
              <w:jc w:val="center"/>
              <w:rPr>
                <w:b/>
                <w:bCs/>
              </w:rPr>
            </w:pPr>
            <w:r>
              <w:rPr>
                <w:b/>
                <w:bCs/>
              </w:rPr>
              <w:t>Beta from Locke et al.</w:t>
            </w:r>
          </w:p>
        </w:tc>
        <w:tc>
          <w:tcPr>
            <w:tcW w:w="1135" w:type="dxa"/>
          </w:tcPr>
          <w:p w14:paraId="05790F96" w14:textId="0F848DFB" w:rsidR="00D52B5D" w:rsidRDefault="00D52B5D" w:rsidP="00A02DA6">
            <w:pPr>
              <w:jc w:val="center"/>
              <w:rPr>
                <w:b/>
                <w:bCs/>
              </w:rPr>
            </w:pPr>
            <w:r>
              <w:rPr>
                <w:b/>
                <w:bCs/>
              </w:rPr>
              <w:t>SE From Locke et al.</w:t>
            </w:r>
          </w:p>
        </w:tc>
        <w:tc>
          <w:tcPr>
            <w:tcW w:w="1477" w:type="dxa"/>
          </w:tcPr>
          <w:p w14:paraId="1057AD69" w14:textId="77777777" w:rsidR="00D52B5D" w:rsidRPr="0043437A" w:rsidRDefault="00D52B5D" w:rsidP="00A02DA6">
            <w:pPr>
              <w:jc w:val="center"/>
              <w:rPr>
                <w:b/>
                <w:bCs/>
              </w:rPr>
            </w:pPr>
            <w:r>
              <w:rPr>
                <w:b/>
                <w:bCs/>
              </w:rPr>
              <w:t>Difference in Betas</w:t>
            </w:r>
          </w:p>
        </w:tc>
        <w:tc>
          <w:tcPr>
            <w:tcW w:w="1158" w:type="dxa"/>
          </w:tcPr>
          <w:p w14:paraId="0EA4464D" w14:textId="77777777" w:rsidR="00D52B5D" w:rsidRDefault="00D52B5D" w:rsidP="00A02DA6">
            <w:pPr>
              <w:jc w:val="center"/>
              <w:rPr>
                <w:b/>
                <w:bCs/>
              </w:rPr>
            </w:pPr>
            <w:r>
              <w:rPr>
                <w:b/>
                <w:bCs/>
              </w:rPr>
              <w:t>Difference in SEs</w:t>
            </w:r>
          </w:p>
        </w:tc>
      </w:tr>
      <w:tr w:rsidR="00D52B5D" w14:paraId="04EB6F94" w14:textId="77777777" w:rsidTr="00A02DA6">
        <w:tc>
          <w:tcPr>
            <w:tcW w:w="1624" w:type="dxa"/>
          </w:tcPr>
          <w:p w14:paraId="0D89221B" w14:textId="77777777" w:rsidR="00D52B5D" w:rsidRPr="00B2295E" w:rsidRDefault="00D52B5D" w:rsidP="00A02DA6">
            <w:pPr>
              <w:jc w:val="center"/>
              <w:rPr>
                <w:rFonts w:ascii="Calibri" w:hAnsi="Calibri" w:cs="Calibri"/>
                <w:b/>
                <w:bCs/>
                <w:color w:val="000000"/>
              </w:rPr>
            </w:pPr>
            <w:r w:rsidRPr="00B2295E">
              <w:rPr>
                <w:rFonts w:ascii="Calibri" w:hAnsi="Calibri" w:cs="Calibri"/>
                <w:b/>
                <w:bCs/>
                <w:color w:val="000000"/>
              </w:rPr>
              <w:t>1:110154688</w:t>
            </w:r>
          </w:p>
        </w:tc>
        <w:tc>
          <w:tcPr>
            <w:tcW w:w="1503" w:type="dxa"/>
          </w:tcPr>
          <w:p w14:paraId="60EE286B" w14:textId="77777777" w:rsidR="00D52B5D" w:rsidRPr="003732F3" w:rsidRDefault="00D52B5D" w:rsidP="00A02DA6">
            <w:pPr>
              <w:jc w:val="center"/>
              <w:rPr>
                <w:rFonts w:ascii="Calibri" w:hAnsi="Calibri" w:cs="Calibri"/>
                <w:color w:val="000000"/>
              </w:rPr>
            </w:pPr>
            <w:r>
              <w:rPr>
                <w:rFonts w:ascii="Calibri" w:hAnsi="Calibri" w:cs="Calibri"/>
                <w:color w:val="000000"/>
              </w:rPr>
              <w:t>0.069148</w:t>
            </w:r>
          </w:p>
        </w:tc>
        <w:tc>
          <w:tcPr>
            <w:tcW w:w="1338" w:type="dxa"/>
          </w:tcPr>
          <w:p w14:paraId="2B917D12" w14:textId="77777777" w:rsidR="00D52B5D" w:rsidRPr="003732F3" w:rsidRDefault="00D52B5D" w:rsidP="00A02DA6">
            <w:pPr>
              <w:jc w:val="center"/>
              <w:rPr>
                <w:rFonts w:ascii="Calibri" w:hAnsi="Calibri" w:cs="Calibri"/>
                <w:color w:val="000000"/>
              </w:rPr>
            </w:pPr>
            <w:r>
              <w:rPr>
                <w:rFonts w:ascii="Calibri" w:hAnsi="Calibri" w:cs="Calibri"/>
                <w:color w:val="000000"/>
              </w:rPr>
              <w:t>0.008756</w:t>
            </w:r>
          </w:p>
        </w:tc>
        <w:tc>
          <w:tcPr>
            <w:tcW w:w="1115" w:type="dxa"/>
          </w:tcPr>
          <w:p w14:paraId="0777DA1C" w14:textId="6FDE259C" w:rsidR="00D52B5D" w:rsidRDefault="00CC6531" w:rsidP="00CC6531">
            <w:pPr>
              <w:jc w:val="center"/>
              <w:rPr>
                <w:rFonts w:ascii="Calibri" w:hAnsi="Calibri" w:cs="Calibri"/>
                <w:color w:val="000000"/>
              </w:rPr>
            </w:pPr>
            <w:r>
              <w:rPr>
                <w:rFonts w:ascii="Calibri" w:hAnsi="Calibri" w:cs="Calibri"/>
                <w:color w:val="000000"/>
              </w:rPr>
              <w:t>0.066</w:t>
            </w:r>
          </w:p>
        </w:tc>
        <w:tc>
          <w:tcPr>
            <w:tcW w:w="1135" w:type="dxa"/>
          </w:tcPr>
          <w:p w14:paraId="1BF70AFD" w14:textId="3296F44B" w:rsidR="00D52B5D" w:rsidRDefault="00CC6531" w:rsidP="00CC6531">
            <w:pPr>
              <w:jc w:val="center"/>
              <w:rPr>
                <w:rFonts w:ascii="Calibri" w:hAnsi="Calibri" w:cs="Calibri"/>
                <w:color w:val="000000"/>
              </w:rPr>
            </w:pPr>
            <w:r>
              <w:rPr>
                <w:rFonts w:ascii="Calibri" w:hAnsi="Calibri" w:cs="Calibri"/>
                <w:color w:val="000000"/>
              </w:rPr>
              <w:t>0.009</w:t>
            </w:r>
          </w:p>
        </w:tc>
        <w:tc>
          <w:tcPr>
            <w:tcW w:w="1477" w:type="dxa"/>
          </w:tcPr>
          <w:p w14:paraId="6F6D42D4" w14:textId="5CC926FF" w:rsidR="00D52B5D" w:rsidRDefault="00CC6531" w:rsidP="00CC6531">
            <w:pPr>
              <w:jc w:val="center"/>
              <w:rPr>
                <w:rFonts w:ascii="Calibri" w:hAnsi="Calibri" w:cs="Calibri"/>
                <w:color w:val="000000"/>
              </w:rPr>
            </w:pPr>
            <w:r>
              <w:rPr>
                <w:rFonts w:ascii="Calibri" w:hAnsi="Calibri" w:cs="Calibri"/>
                <w:color w:val="000000"/>
              </w:rPr>
              <w:t>0.003148</w:t>
            </w:r>
          </w:p>
        </w:tc>
        <w:tc>
          <w:tcPr>
            <w:tcW w:w="1158" w:type="dxa"/>
          </w:tcPr>
          <w:p w14:paraId="4DA9C4B0" w14:textId="7F585DE4" w:rsidR="00D52B5D" w:rsidRDefault="00CC6531" w:rsidP="00CC6531">
            <w:pPr>
              <w:jc w:val="center"/>
              <w:rPr>
                <w:rFonts w:ascii="Calibri" w:hAnsi="Calibri" w:cs="Calibri"/>
                <w:color w:val="000000"/>
              </w:rPr>
            </w:pPr>
            <w:r>
              <w:rPr>
                <w:rFonts w:ascii="Calibri" w:hAnsi="Calibri" w:cs="Calibri"/>
                <w:color w:val="000000"/>
              </w:rPr>
              <w:t>0.000244</w:t>
            </w:r>
          </w:p>
        </w:tc>
      </w:tr>
      <w:tr w:rsidR="00D52B5D" w14:paraId="39EB91EE" w14:textId="77777777" w:rsidTr="00A02DA6">
        <w:tc>
          <w:tcPr>
            <w:tcW w:w="1624" w:type="dxa"/>
          </w:tcPr>
          <w:p w14:paraId="572439DC" w14:textId="77777777" w:rsidR="00D52B5D" w:rsidRPr="00B2295E" w:rsidRDefault="00D52B5D" w:rsidP="00A02DA6">
            <w:pPr>
              <w:jc w:val="center"/>
              <w:rPr>
                <w:rFonts w:ascii="Calibri" w:hAnsi="Calibri" w:cs="Calibri"/>
                <w:b/>
                <w:bCs/>
                <w:color w:val="000000"/>
              </w:rPr>
            </w:pPr>
            <w:r w:rsidRPr="00B2295E">
              <w:rPr>
                <w:rFonts w:ascii="Calibri" w:hAnsi="Calibri" w:cs="Calibri"/>
                <w:b/>
                <w:bCs/>
                <w:color w:val="000000"/>
              </w:rPr>
              <w:t>1:177889480</w:t>
            </w:r>
          </w:p>
        </w:tc>
        <w:tc>
          <w:tcPr>
            <w:tcW w:w="1503" w:type="dxa"/>
          </w:tcPr>
          <w:p w14:paraId="23CC967F" w14:textId="77777777" w:rsidR="00D52B5D" w:rsidRPr="003732F3" w:rsidRDefault="00D52B5D" w:rsidP="00A02DA6">
            <w:pPr>
              <w:jc w:val="center"/>
              <w:rPr>
                <w:rFonts w:ascii="Calibri" w:hAnsi="Calibri" w:cs="Calibri"/>
                <w:color w:val="000000"/>
              </w:rPr>
            </w:pPr>
            <w:r>
              <w:rPr>
                <w:rFonts w:ascii="Calibri" w:hAnsi="Calibri" w:cs="Calibri"/>
                <w:color w:val="000000"/>
              </w:rPr>
              <w:t>0.047896</w:t>
            </w:r>
          </w:p>
        </w:tc>
        <w:tc>
          <w:tcPr>
            <w:tcW w:w="1338" w:type="dxa"/>
          </w:tcPr>
          <w:p w14:paraId="7AB65D5A" w14:textId="77777777" w:rsidR="00D52B5D" w:rsidRPr="003732F3" w:rsidRDefault="00D52B5D" w:rsidP="00A02DA6">
            <w:pPr>
              <w:jc w:val="center"/>
              <w:rPr>
                <w:rFonts w:ascii="Calibri" w:hAnsi="Calibri" w:cs="Calibri"/>
                <w:color w:val="000000"/>
              </w:rPr>
            </w:pPr>
            <w:r>
              <w:rPr>
                <w:rFonts w:ascii="Calibri" w:hAnsi="Calibri" w:cs="Calibri"/>
                <w:color w:val="000000"/>
              </w:rPr>
              <w:t>0.003433</w:t>
            </w:r>
          </w:p>
        </w:tc>
        <w:tc>
          <w:tcPr>
            <w:tcW w:w="1115" w:type="dxa"/>
          </w:tcPr>
          <w:p w14:paraId="41283005" w14:textId="5637120B" w:rsidR="00D52B5D" w:rsidRDefault="00CC6531" w:rsidP="00CC6531">
            <w:pPr>
              <w:jc w:val="center"/>
              <w:rPr>
                <w:rFonts w:ascii="Calibri" w:hAnsi="Calibri" w:cs="Calibri"/>
                <w:color w:val="000000"/>
              </w:rPr>
            </w:pPr>
            <w:r>
              <w:rPr>
                <w:rFonts w:ascii="Calibri" w:hAnsi="Calibri" w:cs="Calibri"/>
                <w:color w:val="000000"/>
              </w:rPr>
              <w:t>0.048</w:t>
            </w:r>
          </w:p>
        </w:tc>
        <w:tc>
          <w:tcPr>
            <w:tcW w:w="1135" w:type="dxa"/>
          </w:tcPr>
          <w:p w14:paraId="3DC70011" w14:textId="15A14F3C" w:rsidR="00D52B5D" w:rsidRDefault="00CC6531" w:rsidP="00CC6531">
            <w:pPr>
              <w:jc w:val="center"/>
              <w:rPr>
                <w:rFonts w:ascii="Calibri" w:hAnsi="Calibri" w:cs="Calibri"/>
                <w:color w:val="000000"/>
              </w:rPr>
            </w:pPr>
            <w:r>
              <w:rPr>
                <w:rFonts w:ascii="Calibri" w:hAnsi="Calibri" w:cs="Calibri"/>
                <w:color w:val="000000"/>
              </w:rPr>
              <w:t>0.004</w:t>
            </w:r>
          </w:p>
        </w:tc>
        <w:tc>
          <w:tcPr>
            <w:tcW w:w="1477" w:type="dxa"/>
          </w:tcPr>
          <w:p w14:paraId="165A5442" w14:textId="5CBF58EC" w:rsidR="00D52B5D" w:rsidRDefault="00CC6531" w:rsidP="00CC6531">
            <w:pPr>
              <w:jc w:val="center"/>
              <w:rPr>
                <w:rFonts w:ascii="Calibri" w:hAnsi="Calibri" w:cs="Calibri"/>
                <w:color w:val="000000"/>
              </w:rPr>
            </w:pPr>
            <w:r>
              <w:rPr>
                <w:rFonts w:ascii="Calibri" w:hAnsi="Calibri" w:cs="Calibri"/>
                <w:color w:val="000000"/>
              </w:rPr>
              <w:t>0.000104</w:t>
            </w:r>
          </w:p>
        </w:tc>
        <w:tc>
          <w:tcPr>
            <w:tcW w:w="1158" w:type="dxa"/>
          </w:tcPr>
          <w:p w14:paraId="225F37C7" w14:textId="440CB61F" w:rsidR="00D52B5D" w:rsidRDefault="00CC6531" w:rsidP="00CC6531">
            <w:pPr>
              <w:jc w:val="center"/>
              <w:rPr>
                <w:rFonts w:ascii="Calibri" w:hAnsi="Calibri" w:cs="Calibri"/>
                <w:color w:val="000000"/>
              </w:rPr>
            </w:pPr>
            <w:r>
              <w:rPr>
                <w:rFonts w:ascii="Calibri" w:hAnsi="Calibri" w:cs="Calibri"/>
                <w:color w:val="000000"/>
              </w:rPr>
              <w:t>0.000567</w:t>
            </w:r>
          </w:p>
        </w:tc>
      </w:tr>
      <w:tr w:rsidR="00D52B5D" w14:paraId="7A638805" w14:textId="77777777" w:rsidTr="00A02DA6">
        <w:tc>
          <w:tcPr>
            <w:tcW w:w="1624" w:type="dxa"/>
          </w:tcPr>
          <w:p w14:paraId="1D4A19A0" w14:textId="77777777" w:rsidR="00D52B5D" w:rsidRPr="00B2295E" w:rsidRDefault="00D52B5D" w:rsidP="00A02DA6">
            <w:pPr>
              <w:jc w:val="center"/>
              <w:rPr>
                <w:rFonts w:ascii="Calibri" w:hAnsi="Calibri" w:cs="Calibri"/>
                <w:b/>
                <w:bCs/>
                <w:color w:val="000000"/>
              </w:rPr>
            </w:pPr>
            <w:r w:rsidRPr="00B2295E">
              <w:rPr>
                <w:rFonts w:ascii="Calibri" w:hAnsi="Calibri" w:cs="Calibri"/>
                <w:b/>
                <w:bCs/>
                <w:color w:val="000000"/>
              </w:rPr>
              <w:t>1:201784287</w:t>
            </w:r>
          </w:p>
        </w:tc>
        <w:tc>
          <w:tcPr>
            <w:tcW w:w="1503" w:type="dxa"/>
          </w:tcPr>
          <w:p w14:paraId="3EC5D183" w14:textId="77777777" w:rsidR="00D52B5D" w:rsidRPr="003732F3" w:rsidRDefault="00D52B5D" w:rsidP="00A02DA6">
            <w:pPr>
              <w:jc w:val="center"/>
              <w:rPr>
                <w:rFonts w:ascii="Calibri" w:hAnsi="Calibri" w:cs="Calibri"/>
                <w:color w:val="000000"/>
              </w:rPr>
            </w:pPr>
            <w:r>
              <w:rPr>
                <w:rFonts w:ascii="Calibri" w:hAnsi="Calibri" w:cs="Calibri"/>
                <w:color w:val="000000"/>
              </w:rPr>
              <w:t>0.019715</w:t>
            </w:r>
          </w:p>
        </w:tc>
        <w:tc>
          <w:tcPr>
            <w:tcW w:w="1338" w:type="dxa"/>
          </w:tcPr>
          <w:p w14:paraId="460365E2" w14:textId="77777777" w:rsidR="00D52B5D" w:rsidRPr="00D52B5D" w:rsidRDefault="00D52B5D" w:rsidP="00A02DA6">
            <w:pPr>
              <w:jc w:val="center"/>
              <w:rPr>
                <w:rFonts w:ascii="Calibri" w:hAnsi="Calibri" w:cs="Calibri"/>
                <w:color w:val="000000"/>
              </w:rPr>
            </w:pPr>
            <w:r>
              <w:rPr>
                <w:rFonts w:ascii="Calibri" w:hAnsi="Calibri" w:cs="Calibri"/>
                <w:color w:val="000000"/>
              </w:rPr>
              <w:t>0.002808</w:t>
            </w:r>
          </w:p>
        </w:tc>
        <w:tc>
          <w:tcPr>
            <w:tcW w:w="1115" w:type="dxa"/>
          </w:tcPr>
          <w:p w14:paraId="0B685A09" w14:textId="5D874ACA" w:rsidR="00D52B5D" w:rsidRPr="00D52B5D" w:rsidRDefault="00CC6531" w:rsidP="00CC6531">
            <w:pPr>
              <w:jc w:val="center"/>
              <w:rPr>
                <w:rFonts w:ascii="Calibri" w:hAnsi="Calibri" w:cs="Calibri"/>
                <w:color w:val="000000"/>
              </w:rPr>
            </w:pPr>
            <w:r>
              <w:rPr>
                <w:rFonts w:ascii="Calibri" w:hAnsi="Calibri" w:cs="Calibri"/>
                <w:color w:val="000000"/>
              </w:rPr>
              <w:t>0.02</w:t>
            </w:r>
          </w:p>
        </w:tc>
        <w:tc>
          <w:tcPr>
            <w:tcW w:w="1135" w:type="dxa"/>
          </w:tcPr>
          <w:p w14:paraId="3D52B0F5" w14:textId="25E3D2D2" w:rsidR="00D52B5D" w:rsidRPr="00D52B5D" w:rsidRDefault="00CC6531" w:rsidP="00CC6531">
            <w:pPr>
              <w:jc w:val="center"/>
              <w:rPr>
                <w:rFonts w:ascii="Calibri" w:hAnsi="Calibri" w:cs="Calibri"/>
                <w:color w:val="000000"/>
              </w:rPr>
            </w:pPr>
            <w:r>
              <w:rPr>
                <w:rFonts w:ascii="Calibri" w:hAnsi="Calibri" w:cs="Calibri"/>
                <w:color w:val="000000"/>
              </w:rPr>
              <w:t>0.003</w:t>
            </w:r>
          </w:p>
        </w:tc>
        <w:tc>
          <w:tcPr>
            <w:tcW w:w="1477" w:type="dxa"/>
          </w:tcPr>
          <w:p w14:paraId="285B8EDB" w14:textId="5A3FC308" w:rsidR="00D52B5D" w:rsidRPr="00D52B5D" w:rsidRDefault="00CC6531" w:rsidP="00CC6531">
            <w:pPr>
              <w:jc w:val="center"/>
              <w:rPr>
                <w:rFonts w:ascii="Calibri" w:hAnsi="Calibri" w:cs="Calibri"/>
                <w:color w:val="000000"/>
              </w:rPr>
            </w:pPr>
            <w:r>
              <w:rPr>
                <w:rFonts w:ascii="Calibri" w:hAnsi="Calibri" w:cs="Calibri"/>
                <w:color w:val="000000"/>
              </w:rPr>
              <w:t>0.000285</w:t>
            </w:r>
          </w:p>
        </w:tc>
        <w:tc>
          <w:tcPr>
            <w:tcW w:w="1158" w:type="dxa"/>
          </w:tcPr>
          <w:p w14:paraId="5B8437F5" w14:textId="7F792492" w:rsidR="00D52B5D" w:rsidRPr="00D52B5D" w:rsidRDefault="00CC6531" w:rsidP="00CC6531">
            <w:pPr>
              <w:jc w:val="center"/>
              <w:rPr>
                <w:rFonts w:ascii="Calibri" w:hAnsi="Calibri" w:cs="Calibri"/>
                <w:color w:val="000000"/>
              </w:rPr>
            </w:pPr>
            <w:r>
              <w:rPr>
                <w:rFonts w:ascii="Calibri" w:hAnsi="Calibri" w:cs="Calibri"/>
                <w:color w:val="000000"/>
              </w:rPr>
              <w:t>0.000192</w:t>
            </w:r>
          </w:p>
        </w:tc>
      </w:tr>
      <w:tr w:rsidR="00D52B5D" w14:paraId="3FD31DFC" w14:textId="77777777" w:rsidTr="00A02DA6">
        <w:tc>
          <w:tcPr>
            <w:tcW w:w="1624" w:type="dxa"/>
          </w:tcPr>
          <w:p w14:paraId="576615BC" w14:textId="77777777" w:rsidR="00D52B5D" w:rsidRPr="00B2295E" w:rsidRDefault="00D52B5D" w:rsidP="00A02DA6">
            <w:pPr>
              <w:jc w:val="center"/>
              <w:rPr>
                <w:rFonts w:ascii="Calibri" w:hAnsi="Calibri" w:cs="Calibri"/>
                <w:b/>
                <w:bCs/>
                <w:color w:val="000000"/>
              </w:rPr>
            </w:pPr>
            <w:r w:rsidRPr="00B2295E">
              <w:rPr>
                <w:rFonts w:ascii="Calibri" w:hAnsi="Calibri" w:cs="Calibri"/>
                <w:b/>
                <w:bCs/>
                <w:color w:val="000000"/>
              </w:rPr>
              <w:t>1:47684677</w:t>
            </w:r>
          </w:p>
        </w:tc>
        <w:tc>
          <w:tcPr>
            <w:tcW w:w="1503" w:type="dxa"/>
          </w:tcPr>
          <w:p w14:paraId="025CB91F" w14:textId="77777777" w:rsidR="00D52B5D" w:rsidRPr="0043437A" w:rsidRDefault="00D52B5D" w:rsidP="00A02DA6">
            <w:pPr>
              <w:jc w:val="center"/>
              <w:rPr>
                <w:rFonts w:ascii="Calibri" w:hAnsi="Calibri" w:cs="Calibri"/>
                <w:color w:val="000000"/>
              </w:rPr>
            </w:pPr>
            <w:r>
              <w:rPr>
                <w:rFonts w:ascii="Calibri" w:hAnsi="Calibri" w:cs="Calibri"/>
                <w:color w:val="000000"/>
              </w:rPr>
              <w:t>0.017234</w:t>
            </w:r>
          </w:p>
        </w:tc>
        <w:tc>
          <w:tcPr>
            <w:tcW w:w="1338" w:type="dxa"/>
          </w:tcPr>
          <w:p w14:paraId="3A369C59" w14:textId="77777777" w:rsidR="00D52B5D" w:rsidRPr="0043437A" w:rsidRDefault="00D52B5D" w:rsidP="00A02DA6">
            <w:pPr>
              <w:jc w:val="center"/>
              <w:rPr>
                <w:rFonts w:ascii="Calibri" w:hAnsi="Calibri" w:cs="Calibri"/>
                <w:color w:val="000000"/>
              </w:rPr>
            </w:pPr>
            <w:r>
              <w:rPr>
                <w:rFonts w:ascii="Calibri" w:hAnsi="Calibri" w:cs="Calibri"/>
                <w:color w:val="000000"/>
              </w:rPr>
              <w:t>0.002826</w:t>
            </w:r>
          </w:p>
        </w:tc>
        <w:tc>
          <w:tcPr>
            <w:tcW w:w="1115" w:type="dxa"/>
          </w:tcPr>
          <w:p w14:paraId="5C18E41D" w14:textId="43122664" w:rsidR="00D52B5D" w:rsidRDefault="00CC6531" w:rsidP="00CC6531">
            <w:pPr>
              <w:jc w:val="center"/>
              <w:rPr>
                <w:rFonts w:ascii="Calibri" w:hAnsi="Calibri" w:cs="Calibri"/>
                <w:color w:val="000000"/>
              </w:rPr>
            </w:pPr>
            <w:r>
              <w:rPr>
                <w:rFonts w:ascii="Calibri" w:hAnsi="Calibri" w:cs="Calibri"/>
                <w:color w:val="000000"/>
              </w:rPr>
              <w:t>0.017</w:t>
            </w:r>
          </w:p>
        </w:tc>
        <w:tc>
          <w:tcPr>
            <w:tcW w:w="1135" w:type="dxa"/>
          </w:tcPr>
          <w:p w14:paraId="41F41EF3" w14:textId="23B5019E" w:rsidR="00D52B5D" w:rsidRDefault="00CC6531" w:rsidP="00CC6531">
            <w:pPr>
              <w:jc w:val="center"/>
              <w:rPr>
                <w:rFonts w:ascii="Calibri" w:hAnsi="Calibri" w:cs="Calibri"/>
                <w:color w:val="000000"/>
              </w:rPr>
            </w:pPr>
            <w:r>
              <w:rPr>
                <w:rFonts w:ascii="Calibri" w:hAnsi="Calibri" w:cs="Calibri"/>
                <w:color w:val="000000"/>
              </w:rPr>
              <w:t>0.003</w:t>
            </w:r>
          </w:p>
        </w:tc>
        <w:tc>
          <w:tcPr>
            <w:tcW w:w="1477" w:type="dxa"/>
          </w:tcPr>
          <w:p w14:paraId="4D543821" w14:textId="44D8001D" w:rsidR="00D52B5D" w:rsidRDefault="00CC6531" w:rsidP="00CC6531">
            <w:pPr>
              <w:jc w:val="center"/>
              <w:rPr>
                <w:rFonts w:ascii="Calibri" w:hAnsi="Calibri" w:cs="Calibri"/>
                <w:color w:val="000000"/>
              </w:rPr>
            </w:pPr>
            <w:r>
              <w:rPr>
                <w:rFonts w:ascii="Calibri" w:hAnsi="Calibri" w:cs="Calibri"/>
                <w:color w:val="000000"/>
              </w:rPr>
              <w:t>0.000234</w:t>
            </w:r>
          </w:p>
        </w:tc>
        <w:tc>
          <w:tcPr>
            <w:tcW w:w="1158" w:type="dxa"/>
          </w:tcPr>
          <w:p w14:paraId="32FA1A63" w14:textId="5317216F" w:rsidR="00D52B5D" w:rsidRDefault="00CC6531" w:rsidP="00CC6531">
            <w:pPr>
              <w:jc w:val="center"/>
              <w:rPr>
                <w:rFonts w:ascii="Calibri" w:hAnsi="Calibri" w:cs="Calibri"/>
                <w:color w:val="000000"/>
              </w:rPr>
            </w:pPr>
            <w:r>
              <w:rPr>
                <w:rFonts w:ascii="Calibri" w:hAnsi="Calibri" w:cs="Calibri"/>
                <w:color w:val="000000"/>
              </w:rPr>
              <w:t>0.000174</w:t>
            </w:r>
          </w:p>
        </w:tc>
      </w:tr>
    </w:tbl>
    <w:p w14:paraId="2132141B" w14:textId="66D266D4" w:rsidR="00D52B5D" w:rsidRDefault="00D52B5D" w:rsidP="00D52B5D">
      <w:pPr>
        <w:jc w:val="center"/>
      </w:pPr>
      <w:r>
        <w:t>Note: Average Difference in Betas between our estimates and Locke et al.’s was 0.006 and the Average Difference in SEs was 0.0005.</w:t>
      </w:r>
    </w:p>
    <w:p w14:paraId="45478766" w14:textId="2D032FC7" w:rsidR="001A2618" w:rsidRDefault="001A2618" w:rsidP="001A2618"/>
    <w:p w14:paraId="6E4CB8FC" w14:textId="106197A2" w:rsidR="008314D5" w:rsidRDefault="008314D5" w:rsidP="001A2618"/>
    <w:p w14:paraId="0B02CD8A" w14:textId="0593D6A4" w:rsidR="008314D5" w:rsidRDefault="008314D5" w:rsidP="001A2618"/>
    <w:p w14:paraId="139E0B33" w14:textId="31207127" w:rsidR="008314D5" w:rsidRDefault="008314D5" w:rsidP="001A2618"/>
    <w:p w14:paraId="44A1C5E7" w14:textId="0D31F581" w:rsidR="008314D5" w:rsidRDefault="008314D5" w:rsidP="001A2618"/>
    <w:p w14:paraId="50A40D62" w14:textId="40A2594B" w:rsidR="008314D5" w:rsidRDefault="008314D5" w:rsidP="001A2618"/>
    <w:p w14:paraId="2F487348" w14:textId="097B4D41" w:rsidR="008314D5" w:rsidRDefault="008314D5" w:rsidP="001A2618"/>
    <w:p w14:paraId="5A4F5DA6" w14:textId="31C89B7F" w:rsidR="008314D5" w:rsidRDefault="008314D5" w:rsidP="001A2618"/>
    <w:p w14:paraId="78022A14" w14:textId="06154465" w:rsidR="008314D5" w:rsidRDefault="008314D5" w:rsidP="001A2618"/>
    <w:p w14:paraId="78ED855E" w14:textId="4B226D92" w:rsidR="008314D5" w:rsidRDefault="008314D5" w:rsidP="001A2618"/>
    <w:p w14:paraId="02D24EC9" w14:textId="59253934" w:rsidR="008314D5" w:rsidRDefault="008314D5" w:rsidP="001A2618"/>
    <w:p w14:paraId="041064FA" w14:textId="03FE7037" w:rsidR="008314D5" w:rsidRDefault="008314D5" w:rsidP="001A2618"/>
    <w:p w14:paraId="53239398" w14:textId="16E20F1B" w:rsidR="008314D5" w:rsidRDefault="008314D5" w:rsidP="001A2618"/>
    <w:p w14:paraId="796A2CF6" w14:textId="794BD55F" w:rsidR="008314D5" w:rsidRDefault="008314D5" w:rsidP="001A2618"/>
    <w:p w14:paraId="6D458F07" w14:textId="208CE094" w:rsidR="008314D5" w:rsidRDefault="008314D5" w:rsidP="001A2618"/>
    <w:p w14:paraId="579049EF" w14:textId="55712A31" w:rsidR="008314D5" w:rsidRDefault="008314D5" w:rsidP="001A2618"/>
    <w:p w14:paraId="716C87DE" w14:textId="6BA54954" w:rsidR="008314D5" w:rsidRDefault="008314D5" w:rsidP="001A2618"/>
    <w:p w14:paraId="3EFB1B1E" w14:textId="424C34A0" w:rsidR="008314D5" w:rsidRDefault="008314D5" w:rsidP="001A2618"/>
    <w:p w14:paraId="008BB918" w14:textId="0B486E77" w:rsidR="008314D5" w:rsidRDefault="008314D5" w:rsidP="001A2618"/>
    <w:p w14:paraId="74C28D2A" w14:textId="77777777" w:rsidR="008314D5" w:rsidRDefault="008314D5" w:rsidP="001A2618"/>
    <w:p w14:paraId="3891DB58" w14:textId="00548044" w:rsidR="008314D5" w:rsidRDefault="00CC6531" w:rsidP="008314D5">
      <w:pPr>
        <w:pStyle w:val="ListParagraph"/>
        <w:numPr>
          <w:ilvl w:val="0"/>
          <w:numId w:val="4"/>
        </w:numPr>
        <w:jc w:val="center"/>
      </w:pPr>
      <w:bookmarkStart w:id="3" w:name="TOP"/>
      <w:bookmarkStart w:id="4" w:name="EAF"/>
      <w:r w:rsidRPr="008314D5">
        <w:rPr>
          <w:i/>
          <w:iCs/>
          <w:sz w:val="28"/>
          <w:szCs w:val="28"/>
        </w:rPr>
        <w:t>Effect Allele Comparison wit</w:t>
      </w:r>
      <w:r w:rsidR="008314D5" w:rsidRPr="008314D5">
        <w:rPr>
          <w:i/>
          <w:iCs/>
          <w:sz w:val="28"/>
          <w:szCs w:val="28"/>
        </w:rPr>
        <w:t>h Locke et al. and Neale Lab</w:t>
      </w:r>
      <w:r w:rsidRPr="00CC6531">
        <w:t xml:space="preserve"> </w:t>
      </w:r>
    </w:p>
    <w:bookmarkEnd w:id="3"/>
    <w:bookmarkEnd w:id="4"/>
    <w:p w14:paraId="677279A2" w14:textId="6ED69152" w:rsidR="00CC6531" w:rsidRDefault="00CC6531" w:rsidP="00CC6531">
      <w:pPr>
        <w:jc w:val="center"/>
      </w:pPr>
      <w:r>
        <w:lastRenderedPageBreak/>
        <w:t>Relevant Documents:</w:t>
      </w:r>
    </w:p>
    <w:p w14:paraId="2DC345FF" w14:textId="77777777" w:rsidR="00CC6531" w:rsidRDefault="00CC6531" w:rsidP="00CC6531">
      <w:pPr>
        <w:jc w:val="center"/>
      </w:pPr>
      <w:r>
        <w:t>“NealeUsEAFComp.csv”</w:t>
      </w:r>
    </w:p>
    <w:p w14:paraId="7C156C3C" w14:textId="77777777" w:rsidR="00C41CEC" w:rsidRDefault="00C41CEC" w:rsidP="00C41CEC"/>
    <w:p w14:paraId="5CE624B8" w14:textId="6C69DC19" w:rsidR="00C41CEC" w:rsidRDefault="00C41CEC" w:rsidP="00C41CEC">
      <w:r>
        <w:t xml:space="preserve">The Effect Allele Frequency is a measure of the proportion of alleles (out of 2 per person) </w:t>
      </w:r>
      <w:r w:rsidR="008314D5">
        <w:t xml:space="preserve">that </w:t>
      </w:r>
      <w:r>
        <w:t xml:space="preserve">were the effect allele </w:t>
      </w:r>
      <w:r w:rsidR="008314D5">
        <w:t xml:space="preserve">(the allele that increases BMI) </w:t>
      </w:r>
      <w:r>
        <w:t xml:space="preserve">as compared to how many were the non-effect allele. It should </w:t>
      </w:r>
      <w:r w:rsidR="008314D5">
        <w:t>tell us</w:t>
      </w:r>
      <w:r>
        <w:t xml:space="preserve"> whether the allele distribution is similar between our dataset and the GWAS in Locke et al.</w:t>
      </w:r>
      <w:r w:rsidR="008314D5">
        <w:t xml:space="preserve"> and the Neale Lab. Close alignment of the effect allele frequencies would further my confidence that our genetic data was processed correctly and none of the effect alleles were flipped on accident.</w:t>
      </w:r>
    </w:p>
    <w:p w14:paraId="175CE0E7" w14:textId="317DF67C" w:rsidR="008314D5" w:rsidRDefault="008314D5" w:rsidP="00C41CEC">
      <w:r>
        <w:t xml:space="preserve">Again, I present </w:t>
      </w:r>
      <w:proofErr w:type="gramStart"/>
      <w:r>
        <w:t>a brief summary</w:t>
      </w:r>
      <w:proofErr w:type="gramEnd"/>
      <w:r>
        <w:t xml:space="preserve"> of these results, with more complete results available in “NealeUsEAFComp.csv.” The effect allele frequencies in our dataset correlate extremely well with those of Locke et al. and the Neale Lab, with a correlation coefficient of 0.978 and 0.983, respectively. I show what this looks like for a sample of four genetic variants.</w:t>
      </w:r>
      <w:r w:rsidR="00D540F3">
        <w:t xml:space="preserve"> I focus here on the Neale Lab results, as they should most closely align with our own.</w:t>
      </w:r>
    </w:p>
    <w:p w14:paraId="0DBD5D6A" w14:textId="77777777" w:rsidR="008314D5" w:rsidRDefault="008314D5" w:rsidP="00C41CEC"/>
    <w:p w14:paraId="5B21F57B" w14:textId="29CF9E54" w:rsidR="008314D5" w:rsidRPr="00B2295E" w:rsidRDefault="008314D5" w:rsidP="008314D5">
      <w:pPr>
        <w:jc w:val="center"/>
        <w:rPr>
          <w:b/>
          <w:bCs/>
        </w:rPr>
      </w:pPr>
      <w:r w:rsidRPr="00B2295E">
        <w:rPr>
          <w:b/>
          <w:bCs/>
        </w:rPr>
        <w:t xml:space="preserve">Table </w:t>
      </w:r>
      <w:r>
        <w:rPr>
          <w:b/>
          <w:bCs/>
        </w:rPr>
        <w:t>3</w:t>
      </w:r>
      <w:r w:rsidRPr="00B2295E">
        <w:rPr>
          <w:b/>
          <w:bCs/>
        </w:rPr>
        <w:t xml:space="preserve">: Comparison of </w:t>
      </w:r>
      <w:r w:rsidR="00D540F3">
        <w:rPr>
          <w:b/>
          <w:bCs/>
        </w:rPr>
        <w:t>Effect Allele Frequency</w:t>
      </w:r>
      <w:r w:rsidRPr="00B2295E">
        <w:rPr>
          <w:b/>
          <w:bCs/>
        </w:rPr>
        <w:t xml:space="preserve"> for Four Variants from Our Dataset and Neale Lab</w:t>
      </w:r>
    </w:p>
    <w:tbl>
      <w:tblPr>
        <w:tblStyle w:val="TableGrid"/>
        <w:tblW w:w="0" w:type="auto"/>
        <w:jc w:val="center"/>
        <w:tblLook w:val="04A0" w:firstRow="1" w:lastRow="0" w:firstColumn="1" w:lastColumn="0" w:noHBand="0" w:noVBand="1"/>
      </w:tblPr>
      <w:tblGrid>
        <w:gridCol w:w="1622"/>
        <w:gridCol w:w="1500"/>
        <w:gridCol w:w="1336"/>
      </w:tblGrid>
      <w:tr w:rsidR="00D540F3" w:rsidRPr="0043437A" w14:paraId="207E09DF" w14:textId="77777777" w:rsidTr="00D540F3">
        <w:trPr>
          <w:jc w:val="center"/>
        </w:trPr>
        <w:tc>
          <w:tcPr>
            <w:tcW w:w="1622" w:type="dxa"/>
          </w:tcPr>
          <w:p w14:paraId="40D3616D" w14:textId="1E95C867" w:rsidR="00D540F3" w:rsidRPr="0043437A" w:rsidRDefault="00D540F3" w:rsidP="00A02DA6">
            <w:pPr>
              <w:jc w:val="center"/>
              <w:rPr>
                <w:b/>
                <w:bCs/>
              </w:rPr>
            </w:pPr>
            <w:r w:rsidRPr="0043437A">
              <w:rPr>
                <w:b/>
                <w:bCs/>
              </w:rPr>
              <w:t>Variants</w:t>
            </w:r>
            <w:r>
              <w:rPr>
                <w:b/>
                <w:bCs/>
              </w:rPr>
              <w:t xml:space="preserve"> (</w:t>
            </w:r>
            <w:proofErr w:type="spellStart"/>
            <w:proofErr w:type="gramStart"/>
            <w:r>
              <w:rPr>
                <w:b/>
                <w:bCs/>
              </w:rPr>
              <w:t>Chr:Pos</w:t>
            </w:r>
            <w:proofErr w:type="spellEnd"/>
            <w:proofErr w:type="gramEnd"/>
            <w:r>
              <w:rPr>
                <w:b/>
                <w:bCs/>
              </w:rPr>
              <w:t>)</w:t>
            </w:r>
          </w:p>
        </w:tc>
        <w:tc>
          <w:tcPr>
            <w:tcW w:w="1500" w:type="dxa"/>
            <w:tcBorders>
              <w:bottom w:val="single" w:sz="4" w:space="0" w:color="auto"/>
            </w:tcBorders>
          </w:tcPr>
          <w:p w14:paraId="084D621A" w14:textId="3C5F96B9" w:rsidR="00D540F3" w:rsidRPr="0043437A" w:rsidRDefault="00D540F3" w:rsidP="00A02DA6">
            <w:pPr>
              <w:jc w:val="center"/>
              <w:rPr>
                <w:b/>
                <w:bCs/>
              </w:rPr>
            </w:pPr>
            <w:r>
              <w:rPr>
                <w:b/>
                <w:bCs/>
              </w:rPr>
              <w:t>EAF from Our Dataset</w:t>
            </w:r>
          </w:p>
        </w:tc>
        <w:tc>
          <w:tcPr>
            <w:tcW w:w="1336" w:type="dxa"/>
            <w:tcBorders>
              <w:bottom w:val="single" w:sz="4" w:space="0" w:color="auto"/>
            </w:tcBorders>
          </w:tcPr>
          <w:p w14:paraId="1BB92835" w14:textId="77CC038D" w:rsidR="00D540F3" w:rsidRPr="0043437A" w:rsidRDefault="00D540F3" w:rsidP="00A02DA6">
            <w:pPr>
              <w:jc w:val="center"/>
              <w:rPr>
                <w:b/>
                <w:bCs/>
              </w:rPr>
            </w:pPr>
            <w:r>
              <w:rPr>
                <w:b/>
                <w:bCs/>
              </w:rPr>
              <w:t>EAF from Neale Lab</w:t>
            </w:r>
          </w:p>
        </w:tc>
      </w:tr>
      <w:tr w:rsidR="00D540F3" w14:paraId="2ECB7CBE" w14:textId="77777777" w:rsidTr="00D540F3">
        <w:trPr>
          <w:jc w:val="center"/>
        </w:trPr>
        <w:tc>
          <w:tcPr>
            <w:tcW w:w="1622" w:type="dxa"/>
          </w:tcPr>
          <w:p w14:paraId="1E4D6B35" w14:textId="77777777" w:rsidR="00D540F3" w:rsidRPr="00B2295E" w:rsidRDefault="00D540F3" w:rsidP="00D540F3">
            <w:pPr>
              <w:jc w:val="center"/>
              <w:rPr>
                <w:rFonts w:ascii="Calibri" w:hAnsi="Calibri" w:cs="Calibri"/>
                <w:b/>
                <w:bCs/>
                <w:color w:val="000000"/>
              </w:rPr>
            </w:pPr>
            <w:r w:rsidRPr="00B2295E">
              <w:rPr>
                <w:rFonts w:ascii="Calibri" w:hAnsi="Calibri" w:cs="Calibri"/>
                <w:b/>
                <w:bCs/>
                <w:color w:val="000000"/>
              </w:rPr>
              <w:t>1:110154688</w:t>
            </w:r>
          </w:p>
        </w:tc>
        <w:tc>
          <w:tcPr>
            <w:tcW w:w="1500" w:type="dxa"/>
            <w:tcBorders>
              <w:top w:val="single" w:sz="4" w:space="0" w:color="auto"/>
              <w:left w:val="nil"/>
              <w:bottom w:val="single" w:sz="4" w:space="0" w:color="auto"/>
              <w:right w:val="single" w:sz="4" w:space="0" w:color="auto"/>
            </w:tcBorders>
            <w:shd w:val="clear" w:color="auto" w:fill="auto"/>
            <w:vAlign w:val="bottom"/>
          </w:tcPr>
          <w:p w14:paraId="1B1696C4" w14:textId="421EB8B5" w:rsidR="00D540F3" w:rsidRPr="003732F3" w:rsidRDefault="00D540F3" w:rsidP="00D540F3">
            <w:pPr>
              <w:jc w:val="center"/>
              <w:rPr>
                <w:rFonts w:ascii="Calibri" w:hAnsi="Calibri" w:cs="Calibri"/>
                <w:color w:val="000000"/>
              </w:rPr>
            </w:pPr>
            <w:r>
              <w:rPr>
                <w:rFonts w:ascii="Calibri" w:hAnsi="Calibri" w:cs="Calibri"/>
                <w:color w:val="000000"/>
              </w:rPr>
              <w:t>0.02589</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tcPr>
          <w:p w14:paraId="4CA28DC2" w14:textId="2FA0D32B" w:rsidR="00D540F3" w:rsidRPr="003732F3" w:rsidRDefault="00D540F3" w:rsidP="00D540F3">
            <w:pPr>
              <w:jc w:val="center"/>
              <w:rPr>
                <w:rFonts w:ascii="Calibri" w:hAnsi="Calibri" w:cs="Calibri"/>
                <w:color w:val="000000"/>
              </w:rPr>
            </w:pPr>
            <w:r>
              <w:rPr>
                <w:rFonts w:ascii="Calibri" w:hAnsi="Calibri" w:cs="Calibri"/>
                <w:color w:val="000000"/>
              </w:rPr>
              <w:t>0.025932</w:t>
            </w:r>
          </w:p>
        </w:tc>
      </w:tr>
      <w:tr w:rsidR="00D540F3" w14:paraId="34B8F7DB" w14:textId="77777777" w:rsidTr="00D540F3">
        <w:trPr>
          <w:jc w:val="center"/>
        </w:trPr>
        <w:tc>
          <w:tcPr>
            <w:tcW w:w="1622" w:type="dxa"/>
          </w:tcPr>
          <w:p w14:paraId="4F7D4337" w14:textId="77777777" w:rsidR="00D540F3" w:rsidRPr="00B2295E" w:rsidRDefault="00D540F3" w:rsidP="00D540F3">
            <w:pPr>
              <w:jc w:val="center"/>
              <w:rPr>
                <w:rFonts w:ascii="Calibri" w:hAnsi="Calibri" w:cs="Calibri"/>
                <w:b/>
                <w:bCs/>
                <w:color w:val="000000"/>
              </w:rPr>
            </w:pPr>
            <w:r w:rsidRPr="00B2295E">
              <w:rPr>
                <w:rFonts w:ascii="Calibri" w:hAnsi="Calibri" w:cs="Calibri"/>
                <w:b/>
                <w:bCs/>
                <w:color w:val="000000"/>
              </w:rPr>
              <w:t>1:177889480</w:t>
            </w:r>
          </w:p>
        </w:tc>
        <w:tc>
          <w:tcPr>
            <w:tcW w:w="1500" w:type="dxa"/>
            <w:tcBorders>
              <w:top w:val="single" w:sz="4" w:space="0" w:color="auto"/>
              <w:left w:val="nil"/>
              <w:bottom w:val="single" w:sz="4" w:space="0" w:color="auto"/>
              <w:right w:val="single" w:sz="4" w:space="0" w:color="auto"/>
            </w:tcBorders>
            <w:shd w:val="clear" w:color="auto" w:fill="auto"/>
            <w:vAlign w:val="bottom"/>
          </w:tcPr>
          <w:p w14:paraId="138865AE" w14:textId="257A96DB" w:rsidR="00D540F3" w:rsidRPr="003732F3" w:rsidRDefault="00D540F3" w:rsidP="00D540F3">
            <w:pPr>
              <w:jc w:val="center"/>
              <w:rPr>
                <w:rFonts w:ascii="Calibri" w:hAnsi="Calibri" w:cs="Calibri"/>
                <w:color w:val="000000"/>
              </w:rPr>
            </w:pPr>
            <w:r>
              <w:rPr>
                <w:rFonts w:ascii="Calibri" w:hAnsi="Calibri" w:cs="Calibri"/>
                <w:color w:val="000000"/>
              </w:rPr>
              <w:t>0.2076</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tcPr>
          <w:p w14:paraId="72B18FBC" w14:textId="6AFA07E7" w:rsidR="00D540F3" w:rsidRPr="003732F3" w:rsidRDefault="00D540F3" w:rsidP="00D540F3">
            <w:pPr>
              <w:jc w:val="center"/>
              <w:rPr>
                <w:rFonts w:ascii="Calibri" w:hAnsi="Calibri" w:cs="Calibri"/>
                <w:color w:val="000000"/>
              </w:rPr>
            </w:pPr>
            <w:r>
              <w:rPr>
                <w:rFonts w:ascii="Calibri" w:hAnsi="Calibri" w:cs="Calibri"/>
                <w:color w:val="000000"/>
              </w:rPr>
              <w:t>0.207557</w:t>
            </w:r>
          </w:p>
        </w:tc>
      </w:tr>
      <w:tr w:rsidR="00D540F3" w14:paraId="406A3C7B" w14:textId="77777777" w:rsidTr="00D540F3">
        <w:trPr>
          <w:jc w:val="center"/>
        </w:trPr>
        <w:tc>
          <w:tcPr>
            <w:tcW w:w="1622" w:type="dxa"/>
          </w:tcPr>
          <w:p w14:paraId="3709552A" w14:textId="77777777" w:rsidR="00D540F3" w:rsidRPr="00B2295E" w:rsidRDefault="00D540F3" w:rsidP="00D540F3">
            <w:pPr>
              <w:jc w:val="center"/>
              <w:rPr>
                <w:rFonts w:ascii="Calibri" w:hAnsi="Calibri" w:cs="Calibri"/>
                <w:b/>
                <w:bCs/>
                <w:color w:val="000000"/>
              </w:rPr>
            </w:pPr>
            <w:r w:rsidRPr="00B2295E">
              <w:rPr>
                <w:rFonts w:ascii="Calibri" w:hAnsi="Calibri" w:cs="Calibri"/>
                <w:b/>
                <w:bCs/>
                <w:color w:val="000000"/>
              </w:rPr>
              <w:t>1:201784287</w:t>
            </w:r>
          </w:p>
        </w:tc>
        <w:tc>
          <w:tcPr>
            <w:tcW w:w="1500" w:type="dxa"/>
            <w:tcBorders>
              <w:top w:val="single" w:sz="4" w:space="0" w:color="auto"/>
              <w:left w:val="nil"/>
              <w:bottom w:val="single" w:sz="4" w:space="0" w:color="auto"/>
              <w:right w:val="single" w:sz="4" w:space="0" w:color="auto"/>
            </w:tcBorders>
            <w:shd w:val="clear" w:color="auto" w:fill="auto"/>
            <w:vAlign w:val="bottom"/>
          </w:tcPr>
          <w:p w14:paraId="7C150678" w14:textId="5638708F" w:rsidR="00D540F3" w:rsidRPr="003732F3" w:rsidRDefault="00D540F3" w:rsidP="00D540F3">
            <w:pPr>
              <w:jc w:val="center"/>
              <w:rPr>
                <w:rFonts w:ascii="Calibri" w:hAnsi="Calibri" w:cs="Calibri"/>
                <w:color w:val="000000"/>
              </w:rPr>
            </w:pPr>
            <w:r>
              <w:rPr>
                <w:rFonts w:ascii="Calibri" w:hAnsi="Calibri" w:cs="Calibri"/>
                <w:color w:val="000000"/>
              </w:rPr>
              <w:t>0.5672</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tcPr>
          <w:p w14:paraId="4DA61E1B" w14:textId="4E42FF48" w:rsidR="00D540F3" w:rsidRPr="00D52B5D" w:rsidRDefault="00D540F3" w:rsidP="00D540F3">
            <w:pPr>
              <w:jc w:val="center"/>
              <w:rPr>
                <w:rFonts w:ascii="Calibri" w:hAnsi="Calibri" w:cs="Calibri"/>
                <w:color w:val="000000"/>
              </w:rPr>
            </w:pPr>
            <w:r>
              <w:rPr>
                <w:rFonts w:ascii="Calibri" w:hAnsi="Calibri" w:cs="Calibri"/>
                <w:color w:val="000000"/>
              </w:rPr>
              <w:t>0.566888</w:t>
            </w:r>
          </w:p>
        </w:tc>
      </w:tr>
      <w:tr w:rsidR="00D540F3" w14:paraId="297BF2B5" w14:textId="77777777" w:rsidTr="00D540F3">
        <w:trPr>
          <w:jc w:val="center"/>
        </w:trPr>
        <w:tc>
          <w:tcPr>
            <w:tcW w:w="1622" w:type="dxa"/>
          </w:tcPr>
          <w:p w14:paraId="469F1246" w14:textId="77777777" w:rsidR="00D540F3" w:rsidRPr="00B2295E" w:rsidRDefault="00D540F3" w:rsidP="00D540F3">
            <w:pPr>
              <w:jc w:val="center"/>
              <w:rPr>
                <w:rFonts w:ascii="Calibri" w:hAnsi="Calibri" w:cs="Calibri"/>
                <w:b/>
                <w:bCs/>
                <w:color w:val="000000"/>
              </w:rPr>
            </w:pPr>
            <w:r w:rsidRPr="00B2295E">
              <w:rPr>
                <w:rFonts w:ascii="Calibri" w:hAnsi="Calibri" w:cs="Calibri"/>
                <w:b/>
                <w:bCs/>
                <w:color w:val="000000"/>
              </w:rPr>
              <w:t>1:47684677</w:t>
            </w:r>
          </w:p>
        </w:tc>
        <w:tc>
          <w:tcPr>
            <w:tcW w:w="1500" w:type="dxa"/>
            <w:tcBorders>
              <w:top w:val="single" w:sz="4" w:space="0" w:color="auto"/>
              <w:left w:val="nil"/>
              <w:bottom w:val="single" w:sz="4" w:space="0" w:color="auto"/>
              <w:right w:val="single" w:sz="4" w:space="0" w:color="auto"/>
            </w:tcBorders>
            <w:shd w:val="clear" w:color="auto" w:fill="auto"/>
            <w:vAlign w:val="bottom"/>
          </w:tcPr>
          <w:p w14:paraId="5F8CEE3B" w14:textId="79462ACC" w:rsidR="00D540F3" w:rsidRPr="0043437A" w:rsidRDefault="00D540F3" w:rsidP="00D540F3">
            <w:pPr>
              <w:jc w:val="center"/>
              <w:rPr>
                <w:rFonts w:ascii="Calibri" w:hAnsi="Calibri" w:cs="Calibri"/>
                <w:color w:val="000000"/>
              </w:rPr>
            </w:pPr>
            <w:r>
              <w:rPr>
                <w:rFonts w:ascii="Calibri" w:hAnsi="Calibri" w:cs="Calibri"/>
                <w:color w:val="000000"/>
              </w:rPr>
              <w:t>0.417</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tcPr>
          <w:p w14:paraId="3C9C2F5E" w14:textId="13E4D344" w:rsidR="00D540F3" w:rsidRPr="0043437A" w:rsidRDefault="00D540F3" w:rsidP="00D540F3">
            <w:pPr>
              <w:jc w:val="center"/>
              <w:rPr>
                <w:rFonts w:ascii="Calibri" w:hAnsi="Calibri" w:cs="Calibri"/>
                <w:color w:val="000000"/>
              </w:rPr>
            </w:pPr>
            <w:r>
              <w:rPr>
                <w:rFonts w:ascii="Calibri" w:hAnsi="Calibri" w:cs="Calibri"/>
                <w:color w:val="000000"/>
              </w:rPr>
              <w:t>0.41664</w:t>
            </w:r>
          </w:p>
        </w:tc>
      </w:tr>
    </w:tbl>
    <w:p w14:paraId="58EB5533" w14:textId="77777777" w:rsidR="008314D5" w:rsidRDefault="008314D5" w:rsidP="008314D5"/>
    <w:p w14:paraId="57306536" w14:textId="00B9F77F" w:rsidR="008314D5" w:rsidRDefault="00D540F3" w:rsidP="008314D5">
      <w:r>
        <w:t>It’s readily apparent that the effect allele frequencies are virtually identical between our estimates and those of the Neale Lab, which furthers my confidence in our results.</w:t>
      </w:r>
    </w:p>
    <w:p w14:paraId="027D0C1C" w14:textId="04265CB9" w:rsidR="00C41CEC" w:rsidRDefault="00C41CEC" w:rsidP="00C41CEC"/>
    <w:p w14:paraId="4EBFE246" w14:textId="325872B2" w:rsidR="00D540F3" w:rsidRDefault="00D540F3" w:rsidP="00C41CEC"/>
    <w:p w14:paraId="0634D349" w14:textId="77777777" w:rsidR="00D540F3" w:rsidRDefault="00D540F3" w:rsidP="00C41CEC"/>
    <w:p w14:paraId="124644F3" w14:textId="77777777" w:rsidR="00C41CEC" w:rsidRDefault="00C41CEC" w:rsidP="00C41CEC"/>
    <w:p w14:paraId="2CCFC94A" w14:textId="77777777" w:rsidR="00C41CEC" w:rsidRDefault="00C41CEC" w:rsidP="00C41CEC"/>
    <w:p w14:paraId="3A69F067" w14:textId="77777777" w:rsidR="00C41CEC" w:rsidRDefault="00C41CEC" w:rsidP="00C41CEC"/>
    <w:p w14:paraId="0D387510" w14:textId="77777777" w:rsidR="00C41CEC" w:rsidRDefault="00C41CEC" w:rsidP="00C41CEC"/>
    <w:p w14:paraId="40FD14BA" w14:textId="354293BE" w:rsidR="005615EA" w:rsidRDefault="005615EA" w:rsidP="00C41CEC">
      <w:pPr>
        <w:pStyle w:val="ListParagraph"/>
        <w:numPr>
          <w:ilvl w:val="0"/>
          <w:numId w:val="4"/>
        </w:numPr>
        <w:spacing w:line="480" w:lineRule="auto"/>
        <w:jc w:val="center"/>
        <w:rPr>
          <w:i/>
          <w:iCs/>
          <w:sz w:val="28"/>
          <w:szCs w:val="28"/>
        </w:rPr>
      </w:pPr>
      <w:bookmarkStart w:id="5" w:name="IMPUTE"/>
      <w:r w:rsidRPr="00550F75">
        <w:rPr>
          <w:i/>
          <w:iCs/>
          <w:sz w:val="28"/>
          <w:szCs w:val="28"/>
        </w:rPr>
        <w:t>Genetic Variant Imputation Quality Summary</w:t>
      </w:r>
    </w:p>
    <w:bookmarkEnd w:id="5"/>
    <w:p w14:paraId="562AA016" w14:textId="6910D5F8" w:rsidR="005615EA" w:rsidRPr="005615EA" w:rsidRDefault="005615EA" w:rsidP="005615EA">
      <w:pPr>
        <w:pStyle w:val="ListParagraph"/>
        <w:spacing w:line="480" w:lineRule="auto"/>
        <w:jc w:val="center"/>
      </w:pPr>
      <w:r w:rsidRPr="005615EA">
        <w:t>Relevant Documents:</w:t>
      </w:r>
    </w:p>
    <w:p w14:paraId="45ED7352" w14:textId="01DFF36C" w:rsidR="005615EA" w:rsidRPr="005615EA" w:rsidRDefault="005615EA" w:rsidP="005615EA">
      <w:pPr>
        <w:pStyle w:val="ListParagraph"/>
        <w:spacing w:line="480" w:lineRule="auto"/>
        <w:jc w:val="center"/>
      </w:pPr>
      <w:r w:rsidRPr="005615EA">
        <w:lastRenderedPageBreak/>
        <w:t>SNPINFO.csv</w:t>
      </w:r>
    </w:p>
    <w:p w14:paraId="0B8851D2" w14:textId="786E29B2" w:rsidR="00C41CEC" w:rsidRDefault="00C41CEC" w:rsidP="00C41CEC">
      <w:r>
        <w:t xml:space="preserve">The INFO Score is a measure of the imputation quality of the genetic variants. It can be thought of as the effective sample size for a given genetic variant. In practice, I’ve seen a lot of researchers propose some cutoff for the INFO Score, under which they would not make use of a variant. It is scaled between 0 and 1, with a 1 denoting perfect imputation. This is not a significant issue in our analysis, as each of the included variants has an INFO Score </w:t>
      </w:r>
      <w:proofErr w:type="gramStart"/>
      <w:r>
        <w:t>in excess of</w:t>
      </w:r>
      <w:proofErr w:type="gramEnd"/>
      <w:r>
        <w:t xml:space="preserve"> 0.95 (denoting extremely high genotype imputation quality). The full list of INFO Scores by variant is available in this Folder</w:t>
      </w:r>
      <w:r w:rsidR="005615EA">
        <w:t xml:space="preserve"> in “SNPINFO.csv”</w:t>
      </w:r>
      <w:r>
        <w:t>.</w:t>
      </w:r>
    </w:p>
    <w:p w14:paraId="5AABD2A5" w14:textId="57AFBE46" w:rsidR="003B403F" w:rsidRDefault="003B403F" w:rsidP="00D540F3">
      <w:pPr>
        <w:rPr>
          <w:i/>
          <w:iCs/>
        </w:rPr>
      </w:pPr>
    </w:p>
    <w:p w14:paraId="0C2374A6" w14:textId="473EC963" w:rsidR="0054774B" w:rsidRDefault="0054774B" w:rsidP="00D540F3">
      <w:pPr>
        <w:rPr>
          <w:i/>
          <w:iCs/>
        </w:rPr>
      </w:pPr>
    </w:p>
    <w:p w14:paraId="4EC0C6F0" w14:textId="549CB536" w:rsidR="0054774B" w:rsidRDefault="0054774B" w:rsidP="00D540F3">
      <w:pPr>
        <w:rPr>
          <w:i/>
          <w:iCs/>
        </w:rPr>
      </w:pPr>
    </w:p>
    <w:p w14:paraId="1AE0B229" w14:textId="391F84B2" w:rsidR="0054774B" w:rsidRDefault="0054774B" w:rsidP="00D540F3"/>
    <w:p w14:paraId="0932642E" w14:textId="6D39DF12" w:rsidR="0054774B" w:rsidRDefault="0054774B" w:rsidP="00D540F3"/>
    <w:p w14:paraId="602FB5BD" w14:textId="215C0BC6" w:rsidR="0054774B" w:rsidRDefault="0054774B" w:rsidP="00D540F3"/>
    <w:p w14:paraId="633C64EC" w14:textId="1EF8A234" w:rsidR="0054774B" w:rsidRDefault="0054774B" w:rsidP="00D540F3"/>
    <w:p w14:paraId="43737105" w14:textId="3EC39546" w:rsidR="0054774B" w:rsidRDefault="0054774B" w:rsidP="00D540F3"/>
    <w:p w14:paraId="70426AB4" w14:textId="3F047826" w:rsidR="0054774B" w:rsidRDefault="0054774B" w:rsidP="00D540F3"/>
    <w:p w14:paraId="29820DEB" w14:textId="7D5CA81D" w:rsidR="0054774B" w:rsidRDefault="0054774B" w:rsidP="00D540F3"/>
    <w:p w14:paraId="66AA6621" w14:textId="321CFB19" w:rsidR="0054774B" w:rsidRDefault="0054774B" w:rsidP="00D540F3"/>
    <w:p w14:paraId="1CD9B245" w14:textId="6698BFC8" w:rsidR="0054774B" w:rsidRDefault="0054774B" w:rsidP="00D540F3"/>
    <w:p w14:paraId="0D0236C6" w14:textId="28FBF89D" w:rsidR="0054774B" w:rsidRDefault="0054774B" w:rsidP="00D540F3"/>
    <w:p w14:paraId="657D58BA" w14:textId="14C1D288" w:rsidR="0054774B" w:rsidRDefault="0054774B" w:rsidP="00D540F3"/>
    <w:p w14:paraId="6AB661A7" w14:textId="71CD30FC" w:rsidR="0054774B" w:rsidRDefault="0054774B" w:rsidP="00D540F3"/>
    <w:p w14:paraId="67DD3446" w14:textId="2C2B3DAB" w:rsidR="0054774B" w:rsidRDefault="0054774B" w:rsidP="00D540F3"/>
    <w:p w14:paraId="11E9939A" w14:textId="48D0438D" w:rsidR="0054774B" w:rsidRDefault="0054774B" w:rsidP="00D540F3"/>
    <w:p w14:paraId="78BC526F" w14:textId="6BB360D6" w:rsidR="0054774B" w:rsidRDefault="0054774B" w:rsidP="00D540F3"/>
    <w:p w14:paraId="5B96DCF7" w14:textId="45A7C6DF" w:rsidR="0054774B" w:rsidRDefault="0054774B" w:rsidP="00D540F3"/>
    <w:p w14:paraId="50853C5E" w14:textId="2269B672" w:rsidR="0054774B" w:rsidRDefault="0054774B" w:rsidP="00D540F3"/>
    <w:p w14:paraId="256F24E2" w14:textId="04510FA3" w:rsidR="00284EA7" w:rsidRPr="0054774B" w:rsidRDefault="00284EA7" w:rsidP="00BA5E9E">
      <w:pPr>
        <w:jc w:val="center"/>
      </w:pPr>
    </w:p>
    <w:sectPr w:rsidR="00284EA7" w:rsidRPr="0054774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obbyBchell@outlook.com" w:date="2022-06-17T15:03:00Z" w:initials="S">
    <w:p w14:paraId="21BB698A" w14:textId="380DB958" w:rsidR="000D1E80" w:rsidRDefault="000D1E80" w:rsidP="00F65C12">
      <w:pPr>
        <w:pStyle w:val="CommentText"/>
      </w:pPr>
      <w:r>
        <w:rPr>
          <w:rStyle w:val="CommentReference"/>
        </w:rPr>
        <w:annotationRef/>
      </w:r>
      <w:r>
        <w:t>NOTE: Standardized BMI for betas and Ses from GWAS</w:t>
      </w:r>
    </w:p>
  </w:comment>
  <w:comment w:id="2" w:author="SobbyBchell@outlook.com" w:date="2022-06-17T15:54:00Z" w:initials="S">
    <w:p w14:paraId="18F0EC26" w14:textId="77777777" w:rsidR="001A2618" w:rsidRDefault="001A2618" w:rsidP="00D7707E">
      <w:pPr>
        <w:pStyle w:val="CommentText"/>
      </w:pPr>
      <w:r>
        <w:rPr>
          <w:rStyle w:val="CommentReference"/>
        </w:rPr>
        <w:annotationRef/>
      </w:r>
      <w:r>
        <w:t>This is an important distinction because in the official models I run on raw BMI to keep in terms of units instead of as standard deviations. It doesn't affect performance at all but does change the appearance of the betas and 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BB698A" w15:done="0"/>
  <w15:commentEx w15:paraId="18F0EC26" w15:paraIdParent="21BB69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71648" w16cex:dateUtc="2022-06-17T20:03:00Z"/>
  <w16cex:commentExtensible w16cex:durableId="26572236" w16cex:dateUtc="2022-06-17T2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BB698A" w16cid:durableId="26571648"/>
  <w16cid:commentId w16cid:paraId="18F0EC26" w16cid:durableId="265722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C0548"/>
    <w:multiLevelType w:val="hybridMultilevel"/>
    <w:tmpl w:val="149C05C0"/>
    <w:lvl w:ilvl="0" w:tplc="FFFFFFFF">
      <w:start w:val="1"/>
      <w:numFmt w:val="decimal"/>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68B209D"/>
    <w:multiLevelType w:val="hybridMultilevel"/>
    <w:tmpl w:val="09D0E7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FF76CEB"/>
    <w:multiLevelType w:val="hybridMultilevel"/>
    <w:tmpl w:val="2E74A318"/>
    <w:lvl w:ilvl="0" w:tplc="FFFFFFFF">
      <w:start w:val="1"/>
      <w:numFmt w:val="decimal"/>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6C85749"/>
    <w:multiLevelType w:val="hybridMultilevel"/>
    <w:tmpl w:val="266A2C06"/>
    <w:lvl w:ilvl="0" w:tplc="49F6F4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7F634F"/>
    <w:multiLevelType w:val="hybridMultilevel"/>
    <w:tmpl w:val="2E74A318"/>
    <w:lvl w:ilvl="0" w:tplc="BF28D34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816D2E"/>
    <w:multiLevelType w:val="hybridMultilevel"/>
    <w:tmpl w:val="2E74A318"/>
    <w:lvl w:ilvl="0" w:tplc="FFFFFFFF">
      <w:start w:val="1"/>
      <w:numFmt w:val="decimal"/>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3BC544D"/>
    <w:multiLevelType w:val="hybridMultilevel"/>
    <w:tmpl w:val="2E74A318"/>
    <w:lvl w:ilvl="0" w:tplc="FFFFFFFF">
      <w:start w:val="1"/>
      <w:numFmt w:val="decimal"/>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68821621">
    <w:abstractNumId w:val="1"/>
  </w:num>
  <w:num w:numId="2" w16cid:durableId="882445364">
    <w:abstractNumId w:val="3"/>
  </w:num>
  <w:num w:numId="3" w16cid:durableId="313069227">
    <w:abstractNumId w:val="4"/>
  </w:num>
  <w:num w:numId="4" w16cid:durableId="1567229439">
    <w:abstractNumId w:val="0"/>
  </w:num>
  <w:num w:numId="5" w16cid:durableId="1064916814">
    <w:abstractNumId w:val="5"/>
  </w:num>
  <w:num w:numId="6" w16cid:durableId="1208100505">
    <w:abstractNumId w:val="6"/>
  </w:num>
  <w:num w:numId="7" w16cid:durableId="142850549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bbyBchell@outlook.com">
    <w15:presenceInfo w15:providerId="Windows Live" w15:userId="c6562b284f5881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884"/>
    <w:rsid w:val="00046BD0"/>
    <w:rsid w:val="000D1E80"/>
    <w:rsid w:val="000F2D46"/>
    <w:rsid w:val="001A2618"/>
    <w:rsid w:val="001D6E5D"/>
    <w:rsid w:val="00270CF7"/>
    <w:rsid w:val="00284EA7"/>
    <w:rsid w:val="00315269"/>
    <w:rsid w:val="00357ABD"/>
    <w:rsid w:val="003B403F"/>
    <w:rsid w:val="00421D69"/>
    <w:rsid w:val="004A36F0"/>
    <w:rsid w:val="0054774B"/>
    <w:rsid w:val="00550F75"/>
    <w:rsid w:val="005615EA"/>
    <w:rsid w:val="00615C33"/>
    <w:rsid w:val="007201AE"/>
    <w:rsid w:val="00726966"/>
    <w:rsid w:val="008314D5"/>
    <w:rsid w:val="00857884"/>
    <w:rsid w:val="0098076C"/>
    <w:rsid w:val="00A22503"/>
    <w:rsid w:val="00A9749A"/>
    <w:rsid w:val="00AC1729"/>
    <w:rsid w:val="00B2295E"/>
    <w:rsid w:val="00B94A0D"/>
    <w:rsid w:val="00BA5E9E"/>
    <w:rsid w:val="00C41CEC"/>
    <w:rsid w:val="00CC6531"/>
    <w:rsid w:val="00CF3EB1"/>
    <w:rsid w:val="00D15546"/>
    <w:rsid w:val="00D52B5D"/>
    <w:rsid w:val="00D540F3"/>
    <w:rsid w:val="00E91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532BF"/>
  <w15:chartTrackingRefBased/>
  <w15:docId w15:val="{DE16C7A2-36A7-4768-8665-BDDC6A094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CEC"/>
    <w:rPr>
      <w:color w:val="0563C1" w:themeColor="hyperlink"/>
      <w:u w:val="single"/>
    </w:rPr>
  </w:style>
  <w:style w:type="paragraph" w:styleId="ListParagraph">
    <w:name w:val="List Paragraph"/>
    <w:basedOn w:val="Normal"/>
    <w:uiPriority w:val="34"/>
    <w:qFormat/>
    <w:rsid w:val="00C41CEC"/>
    <w:pPr>
      <w:ind w:left="720"/>
      <w:contextualSpacing/>
    </w:pPr>
  </w:style>
  <w:style w:type="table" w:styleId="TableGrid">
    <w:name w:val="Table Grid"/>
    <w:basedOn w:val="TableNormal"/>
    <w:uiPriority w:val="39"/>
    <w:rsid w:val="00C41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D1E80"/>
    <w:rPr>
      <w:sz w:val="16"/>
      <w:szCs w:val="16"/>
    </w:rPr>
  </w:style>
  <w:style w:type="paragraph" w:styleId="CommentText">
    <w:name w:val="annotation text"/>
    <w:basedOn w:val="Normal"/>
    <w:link w:val="CommentTextChar"/>
    <w:uiPriority w:val="99"/>
    <w:unhideWhenUsed/>
    <w:rsid w:val="000D1E80"/>
    <w:pPr>
      <w:spacing w:line="240" w:lineRule="auto"/>
    </w:pPr>
    <w:rPr>
      <w:sz w:val="20"/>
      <w:szCs w:val="20"/>
    </w:rPr>
  </w:style>
  <w:style w:type="character" w:customStyle="1" w:styleId="CommentTextChar">
    <w:name w:val="Comment Text Char"/>
    <w:basedOn w:val="DefaultParagraphFont"/>
    <w:link w:val="CommentText"/>
    <w:uiPriority w:val="99"/>
    <w:rsid w:val="000D1E80"/>
    <w:rPr>
      <w:sz w:val="20"/>
      <w:szCs w:val="20"/>
    </w:rPr>
  </w:style>
  <w:style w:type="paragraph" w:styleId="CommentSubject">
    <w:name w:val="annotation subject"/>
    <w:basedOn w:val="CommentText"/>
    <w:next w:val="CommentText"/>
    <w:link w:val="CommentSubjectChar"/>
    <w:uiPriority w:val="99"/>
    <w:semiHidden/>
    <w:unhideWhenUsed/>
    <w:rsid w:val="000D1E80"/>
    <w:rPr>
      <w:b/>
      <w:bCs/>
    </w:rPr>
  </w:style>
  <w:style w:type="character" w:customStyle="1" w:styleId="CommentSubjectChar">
    <w:name w:val="Comment Subject Char"/>
    <w:basedOn w:val="CommentTextChar"/>
    <w:link w:val="CommentSubject"/>
    <w:uiPriority w:val="99"/>
    <w:semiHidden/>
    <w:rsid w:val="000D1E80"/>
    <w:rPr>
      <w:b/>
      <w:bCs/>
      <w:sz w:val="20"/>
      <w:szCs w:val="20"/>
    </w:rPr>
  </w:style>
  <w:style w:type="character" w:styleId="FollowedHyperlink">
    <w:name w:val="FollowedHyperlink"/>
    <w:basedOn w:val="DefaultParagraphFont"/>
    <w:uiPriority w:val="99"/>
    <w:semiHidden/>
    <w:unhideWhenUsed/>
    <w:rsid w:val="00550F75"/>
    <w:rPr>
      <w:color w:val="954F72" w:themeColor="followedHyperlink"/>
      <w:u w:val="single"/>
    </w:rPr>
  </w:style>
  <w:style w:type="character" w:styleId="UnresolvedMention">
    <w:name w:val="Unresolved Mention"/>
    <w:basedOn w:val="DefaultParagraphFont"/>
    <w:uiPriority w:val="99"/>
    <w:semiHidden/>
    <w:unhideWhenUsed/>
    <w:rsid w:val="001A26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0806">
      <w:bodyDiv w:val="1"/>
      <w:marLeft w:val="0"/>
      <w:marRight w:val="0"/>
      <w:marTop w:val="0"/>
      <w:marBottom w:val="0"/>
      <w:divBdr>
        <w:top w:val="none" w:sz="0" w:space="0" w:color="auto"/>
        <w:left w:val="none" w:sz="0" w:space="0" w:color="auto"/>
        <w:bottom w:val="none" w:sz="0" w:space="0" w:color="auto"/>
        <w:right w:val="none" w:sz="0" w:space="0" w:color="auto"/>
      </w:divBdr>
    </w:div>
    <w:div w:id="89856889">
      <w:bodyDiv w:val="1"/>
      <w:marLeft w:val="0"/>
      <w:marRight w:val="0"/>
      <w:marTop w:val="0"/>
      <w:marBottom w:val="0"/>
      <w:divBdr>
        <w:top w:val="none" w:sz="0" w:space="0" w:color="auto"/>
        <w:left w:val="none" w:sz="0" w:space="0" w:color="auto"/>
        <w:bottom w:val="none" w:sz="0" w:space="0" w:color="auto"/>
        <w:right w:val="none" w:sz="0" w:space="0" w:color="auto"/>
      </w:divBdr>
    </w:div>
    <w:div w:id="126897627">
      <w:bodyDiv w:val="1"/>
      <w:marLeft w:val="0"/>
      <w:marRight w:val="0"/>
      <w:marTop w:val="0"/>
      <w:marBottom w:val="0"/>
      <w:divBdr>
        <w:top w:val="none" w:sz="0" w:space="0" w:color="auto"/>
        <w:left w:val="none" w:sz="0" w:space="0" w:color="auto"/>
        <w:bottom w:val="none" w:sz="0" w:space="0" w:color="auto"/>
        <w:right w:val="none" w:sz="0" w:space="0" w:color="auto"/>
      </w:divBdr>
    </w:div>
    <w:div w:id="128669174">
      <w:bodyDiv w:val="1"/>
      <w:marLeft w:val="0"/>
      <w:marRight w:val="0"/>
      <w:marTop w:val="0"/>
      <w:marBottom w:val="0"/>
      <w:divBdr>
        <w:top w:val="none" w:sz="0" w:space="0" w:color="auto"/>
        <w:left w:val="none" w:sz="0" w:space="0" w:color="auto"/>
        <w:bottom w:val="none" w:sz="0" w:space="0" w:color="auto"/>
        <w:right w:val="none" w:sz="0" w:space="0" w:color="auto"/>
      </w:divBdr>
    </w:div>
    <w:div w:id="148520004">
      <w:bodyDiv w:val="1"/>
      <w:marLeft w:val="0"/>
      <w:marRight w:val="0"/>
      <w:marTop w:val="0"/>
      <w:marBottom w:val="0"/>
      <w:divBdr>
        <w:top w:val="none" w:sz="0" w:space="0" w:color="auto"/>
        <w:left w:val="none" w:sz="0" w:space="0" w:color="auto"/>
        <w:bottom w:val="none" w:sz="0" w:space="0" w:color="auto"/>
        <w:right w:val="none" w:sz="0" w:space="0" w:color="auto"/>
      </w:divBdr>
    </w:div>
    <w:div w:id="159153700">
      <w:bodyDiv w:val="1"/>
      <w:marLeft w:val="0"/>
      <w:marRight w:val="0"/>
      <w:marTop w:val="0"/>
      <w:marBottom w:val="0"/>
      <w:divBdr>
        <w:top w:val="none" w:sz="0" w:space="0" w:color="auto"/>
        <w:left w:val="none" w:sz="0" w:space="0" w:color="auto"/>
        <w:bottom w:val="none" w:sz="0" w:space="0" w:color="auto"/>
        <w:right w:val="none" w:sz="0" w:space="0" w:color="auto"/>
      </w:divBdr>
    </w:div>
    <w:div w:id="160700549">
      <w:bodyDiv w:val="1"/>
      <w:marLeft w:val="0"/>
      <w:marRight w:val="0"/>
      <w:marTop w:val="0"/>
      <w:marBottom w:val="0"/>
      <w:divBdr>
        <w:top w:val="none" w:sz="0" w:space="0" w:color="auto"/>
        <w:left w:val="none" w:sz="0" w:space="0" w:color="auto"/>
        <w:bottom w:val="none" w:sz="0" w:space="0" w:color="auto"/>
        <w:right w:val="none" w:sz="0" w:space="0" w:color="auto"/>
      </w:divBdr>
    </w:div>
    <w:div w:id="171653679">
      <w:bodyDiv w:val="1"/>
      <w:marLeft w:val="0"/>
      <w:marRight w:val="0"/>
      <w:marTop w:val="0"/>
      <w:marBottom w:val="0"/>
      <w:divBdr>
        <w:top w:val="none" w:sz="0" w:space="0" w:color="auto"/>
        <w:left w:val="none" w:sz="0" w:space="0" w:color="auto"/>
        <w:bottom w:val="none" w:sz="0" w:space="0" w:color="auto"/>
        <w:right w:val="none" w:sz="0" w:space="0" w:color="auto"/>
      </w:divBdr>
    </w:div>
    <w:div w:id="234433962">
      <w:bodyDiv w:val="1"/>
      <w:marLeft w:val="0"/>
      <w:marRight w:val="0"/>
      <w:marTop w:val="0"/>
      <w:marBottom w:val="0"/>
      <w:divBdr>
        <w:top w:val="none" w:sz="0" w:space="0" w:color="auto"/>
        <w:left w:val="none" w:sz="0" w:space="0" w:color="auto"/>
        <w:bottom w:val="none" w:sz="0" w:space="0" w:color="auto"/>
        <w:right w:val="none" w:sz="0" w:space="0" w:color="auto"/>
      </w:divBdr>
    </w:div>
    <w:div w:id="330908964">
      <w:bodyDiv w:val="1"/>
      <w:marLeft w:val="0"/>
      <w:marRight w:val="0"/>
      <w:marTop w:val="0"/>
      <w:marBottom w:val="0"/>
      <w:divBdr>
        <w:top w:val="none" w:sz="0" w:space="0" w:color="auto"/>
        <w:left w:val="none" w:sz="0" w:space="0" w:color="auto"/>
        <w:bottom w:val="none" w:sz="0" w:space="0" w:color="auto"/>
        <w:right w:val="none" w:sz="0" w:space="0" w:color="auto"/>
      </w:divBdr>
    </w:div>
    <w:div w:id="450902474">
      <w:bodyDiv w:val="1"/>
      <w:marLeft w:val="0"/>
      <w:marRight w:val="0"/>
      <w:marTop w:val="0"/>
      <w:marBottom w:val="0"/>
      <w:divBdr>
        <w:top w:val="none" w:sz="0" w:space="0" w:color="auto"/>
        <w:left w:val="none" w:sz="0" w:space="0" w:color="auto"/>
        <w:bottom w:val="none" w:sz="0" w:space="0" w:color="auto"/>
        <w:right w:val="none" w:sz="0" w:space="0" w:color="auto"/>
      </w:divBdr>
    </w:div>
    <w:div w:id="485508864">
      <w:bodyDiv w:val="1"/>
      <w:marLeft w:val="0"/>
      <w:marRight w:val="0"/>
      <w:marTop w:val="0"/>
      <w:marBottom w:val="0"/>
      <w:divBdr>
        <w:top w:val="none" w:sz="0" w:space="0" w:color="auto"/>
        <w:left w:val="none" w:sz="0" w:space="0" w:color="auto"/>
        <w:bottom w:val="none" w:sz="0" w:space="0" w:color="auto"/>
        <w:right w:val="none" w:sz="0" w:space="0" w:color="auto"/>
      </w:divBdr>
    </w:div>
    <w:div w:id="610816137">
      <w:bodyDiv w:val="1"/>
      <w:marLeft w:val="0"/>
      <w:marRight w:val="0"/>
      <w:marTop w:val="0"/>
      <w:marBottom w:val="0"/>
      <w:divBdr>
        <w:top w:val="none" w:sz="0" w:space="0" w:color="auto"/>
        <w:left w:val="none" w:sz="0" w:space="0" w:color="auto"/>
        <w:bottom w:val="none" w:sz="0" w:space="0" w:color="auto"/>
        <w:right w:val="none" w:sz="0" w:space="0" w:color="auto"/>
      </w:divBdr>
    </w:div>
    <w:div w:id="642390939">
      <w:bodyDiv w:val="1"/>
      <w:marLeft w:val="0"/>
      <w:marRight w:val="0"/>
      <w:marTop w:val="0"/>
      <w:marBottom w:val="0"/>
      <w:divBdr>
        <w:top w:val="none" w:sz="0" w:space="0" w:color="auto"/>
        <w:left w:val="none" w:sz="0" w:space="0" w:color="auto"/>
        <w:bottom w:val="none" w:sz="0" w:space="0" w:color="auto"/>
        <w:right w:val="none" w:sz="0" w:space="0" w:color="auto"/>
      </w:divBdr>
    </w:div>
    <w:div w:id="654381475">
      <w:bodyDiv w:val="1"/>
      <w:marLeft w:val="0"/>
      <w:marRight w:val="0"/>
      <w:marTop w:val="0"/>
      <w:marBottom w:val="0"/>
      <w:divBdr>
        <w:top w:val="none" w:sz="0" w:space="0" w:color="auto"/>
        <w:left w:val="none" w:sz="0" w:space="0" w:color="auto"/>
        <w:bottom w:val="none" w:sz="0" w:space="0" w:color="auto"/>
        <w:right w:val="none" w:sz="0" w:space="0" w:color="auto"/>
      </w:divBdr>
    </w:div>
    <w:div w:id="681011247">
      <w:bodyDiv w:val="1"/>
      <w:marLeft w:val="0"/>
      <w:marRight w:val="0"/>
      <w:marTop w:val="0"/>
      <w:marBottom w:val="0"/>
      <w:divBdr>
        <w:top w:val="none" w:sz="0" w:space="0" w:color="auto"/>
        <w:left w:val="none" w:sz="0" w:space="0" w:color="auto"/>
        <w:bottom w:val="none" w:sz="0" w:space="0" w:color="auto"/>
        <w:right w:val="none" w:sz="0" w:space="0" w:color="auto"/>
      </w:divBdr>
    </w:div>
    <w:div w:id="696271147">
      <w:bodyDiv w:val="1"/>
      <w:marLeft w:val="0"/>
      <w:marRight w:val="0"/>
      <w:marTop w:val="0"/>
      <w:marBottom w:val="0"/>
      <w:divBdr>
        <w:top w:val="none" w:sz="0" w:space="0" w:color="auto"/>
        <w:left w:val="none" w:sz="0" w:space="0" w:color="auto"/>
        <w:bottom w:val="none" w:sz="0" w:space="0" w:color="auto"/>
        <w:right w:val="none" w:sz="0" w:space="0" w:color="auto"/>
      </w:divBdr>
    </w:div>
    <w:div w:id="702368820">
      <w:bodyDiv w:val="1"/>
      <w:marLeft w:val="0"/>
      <w:marRight w:val="0"/>
      <w:marTop w:val="0"/>
      <w:marBottom w:val="0"/>
      <w:divBdr>
        <w:top w:val="none" w:sz="0" w:space="0" w:color="auto"/>
        <w:left w:val="none" w:sz="0" w:space="0" w:color="auto"/>
        <w:bottom w:val="none" w:sz="0" w:space="0" w:color="auto"/>
        <w:right w:val="none" w:sz="0" w:space="0" w:color="auto"/>
      </w:divBdr>
    </w:div>
    <w:div w:id="725839566">
      <w:bodyDiv w:val="1"/>
      <w:marLeft w:val="0"/>
      <w:marRight w:val="0"/>
      <w:marTop w:val="0"/>
      <w:marBottom w:val="0"/>
      <w:divBdr>
        <w:top w:val="none" w:sz="0" w:space="0" w:color="auto"/>
        <w:left w:val="none" w:sz="0" w:space="0" w:color="auto"/>
        <w:bottom w:val="none" w:sz="0" w:space="0" w:color="auto"/>
        <w:right w:val="none" w:sz="0" w:space="0" w:color="auto"/>
      </w:divBdr>
    </w:div>
    <w:div w:id="782380854">
      <w:bodyDiv w:val="1"/>
      <w:marLeft w:val="0"/>
      <w:marRight w:val="0"/>
      <w:marTop w:val="0"/>
      <w:marBottom w:val="0"/>
      <w:divBdr>
        <w:top w:val="none" w:sz="0" w:space="0" w:color="auto"/>
        <w:left w:val="none" w:sz="0" w:space="0" w:color="auto"/>
        <w:bottom w:val="none" w:sz="0" w:space="0" w:color="auto"/>
        <w:right w:val="none" w:sz="0" w:space="0" w:color="auto"/>
      </w:divBdr>
    </w:div>
    <w:div w:id="813060288">
      <w:bodyDiv w:val="1"/>
      <w:marLeft w:val="0"/>
      <w:marRight w:val="0"/>
      <w:marTop w:val="0"/>
      <w:marBottom w:val="0"/>
      <w:divBdr>
        <w:top w:val="none" w:sz="0" w:space="0" w:color="auto"/>
        <w:left w:val="none" w:sz="0" w:space="0" w:color="auto"/>
        <w:bottom w:val="none" w:sz="0" w:space="0" w:color="auto"/>
        <w:right w:val="none" w:sz="0" w:space="0" w:color="auto"/>
      </w:divBdr>
    </w:div>
    <w:div w:id="901215870">
      <w:bodyDiv w:val="1"/>
      <w:marLeft w:val="0"/>
      <w:marRight w:val="0"/>
      <w:marTop w:val="0"/>
      <w:marBottom w:val="0"/>
      <w:divBdr>
        <w:top w:val="none" w:sz="0" w:space="0" w:color="auto"/>
        <w:left w:val="none" w:sz="0" w:space="0" w:color="auto"/>
        <w:bottom w:val="none" w:sz="0" w:space="0" w:color="auto"/>
        <w:right w:val="none" w:sz="0" w:space="0" w:color="auto"/>
      </w:divBdr>
    </w:div>
    <w:div w:id="972369435">
      <w:bodyDiv w:val="1"/>
      <w:marLeft w:val="0"/>
      <w:marRight w:val="0"/>
      <w:marTop w:val="0"/>
      <w:marBottom w:val="0"/>
      <w:divBdr>
        <w:top w:val="none" w:sz="0" w:space="0" w:color="auto"/>
        <w:left w:val="none" w:sz="0" w:space="0" w:color="auto"/>
        <w:bottom w:val="none" w:sz="0" w:space="0" w:color="auto"/>
        <w:right w:val="none" w:sz="0" w:space="0" w:color="auto"/>
      </w:divBdr>
    </w:div>
    <w:div w:id="997654904">
      <w:bodyDiv w:val="1"/>
      <w:marLeft w:val="0"/>
      <w:marRight w:val="0"/>
      <w:marTop w:val="0"/>
      <w:marBottom w:val="0"/>
      <w:divBdr>
        <w:top w:val="none" w:sz="0" w:space="0" w:color="auto"/>
        <w:left w:val="none" w:sz="0" w:space="0" w:color="auto"/>
        <w:bottom w:val="none" w:sz="0" w:space="0" w:color="auto"/>
        <w:right w:val="none" w:sz="0" w:space="0" w:color="auto"/>
      </w:divBdr>
    </w:div>
    <w:div w:id="1002973175">
      <w:bodyDiv w:val="1"/>
      <w:marLeft w:val="0"/>
      <w:marRight w:val="0"/>
      <w:marTop w:val="0"/>
      <w:marBottom w:val="0"/>
      <w:divBdr>
        <w:top w:val="none" w:sz="0" w:space="0" w:color="auto"/>
        <w:left w:val="none" w:sz="0" w:space="0" w:color="auto"/>
        <w:bottom w:val="none" w:sz="0" w:space="0" w:color="auto"/>
        <w:right w:val="none" w:sz="0" w:space="0" w:color="auto"/>
      </w:divBdr>
    </w:div>
    <w:div w:id="1070536785">
      <w:bodyDiv w:val="1"/>
      <w:marLeft w:val="0"/>
      <w:marRight w:val="0"/>
      <w:marTop w:val="0"/>
      <w:marBottom w:val="0"/>
      <w:divBdr>
        <w:top w:val="none" w:sz="0" w:space="0" w:color="auto"/>
        <w:left w:val="none" w:sz="0" w:space="0" w:color="auto"/>
        <w:bottom w:val="none" w:sz="0" w:space="0" w:color="auto"/>
        <w:right w:val="none" w:sz="0" w:space="0" w:color="auto"/>
      </w:divBdr>
    </w:div>
    <w:div w:id="1229996067">
      <w:bodyDiv w:val="1"/>
      <w:marLeft w:val="0"/>
      <w:marRight w:val="0"/>
      <w:marTop w:val="0"/>
      <w:marBottom w:val="0"/>
      <w:divBdr>
        <w:top w:val="none" w:sz="0" w:space="0" w:color="auto"/>
        <w:left w:val="none" w:sz="0" w:space="0" w:color="auto"/>
        <w:bottom w:val="none" w:sz="0" w:space="0" w:color="auto"/>
        <w:right w:val="none" w:sz="0" w:space="0" w:color="auto"/>
      </w:divBdr>
    </w:div>
    <w:div w:id="1318731604">
      <w:bodyDiv w:val="1"/>
      <w:marLeft w:val="0"/>
      <w:marRight w:val="0"/>
      <w:marTop w:val="0"/>
      <w:marBottom w:val="0"/>
      <w:divBdr>
        <w:top w:val="none" w:sz="0" w:space="0" w:color="auto"/>
        <w:left w:val="none" w:sz="0" w:space="0" w:color="auto"/>
        <w:bottom w:val="none" w:sz="0" w:space="0" w:color="auto"/>
        <w:right w:val="none" w:sz="0" w:space="0" w:color="auto"/>
      </w:divBdr>
    </w:div>
    <w:div w:id="1372654986">
      <w:bodyDiv w:val="1"/>
      <w:marLeft w:val="0"/>
      <w:marRight w:val="0"/>
      <w:marTop w:val="0"/>
      <w:marBottom w:val="0"/>
      <w:divBdr>
        <w:top w:val="none" w:sz="0" w:space="0" w:color="auto"/>
        <w:left w:val="none" w:sz="0" w:space="0" w:color="auto"/>
        <w:bottom w:val="none" w:sz="0" w:space="0" w:color="auto"/>
        <w:right w:val="none" w:sz="0" w:space="0" w:color="auto"/>
      </w:divBdr>
    </w:div>
    <w:div w:id="1384058436">
      <w:bodyDiv w:val="1"/>
      <w:marLeft w:val="0"/>
      <w:marRight w:val="0"/>
      <w:marTop w:val="0"/>
      <w:marBottom w:val="0"/>
      <w:divBdr>
        <w:top w:val="none" w:sz="0" w:space="0" w:color="auto"/>
        <w:left w:val="none" w:sz="0" w:space="0" w:color="auto"/>
        <w:bottom w:val="none" w:sz="0" w:space="0" w:color="auto"/>
        <w:right w:val="none" w:sz="0" w:space="0" w:color="auto"/>
      </w:divBdr>
    </w:div>
    <w:div w:id="1412696972">
      <w:bodyDiv w:val="1"/>
      <w:marLeft w:val="0"/>
      <w:marRight w:val="0"/>
      <w:marTop w:val="0"/>
      <w:marBottom w:val="0"/>
      <w:divBdr>
        <w:top w:val="none" w:sz="0" w:space="0" w:color="auto"/>
        <w:left w:val="none" w:sz="0" w:space="0" w:color="auto"/>
        <w:bottom w:val="none" w:sz="0" w:space="0" w:color="auto"/>
        <w:right w:val="none" w:sz="0" w:space="0" w:color="auto"/>
      </w:divBdr>
    </w:div>
    <w:div w:id="1416245462">
      <w:bodyDiv w:val="1"/>
      <w:marLeft w:val="0"/>
      <w:marRight w:val="0"/>
      <w:marTop w:val="0"/>
      <w:marBottom w:val="0"/>
      <w:divBdr>
        <w:top w:val="none" w:sz="0" w:space="0" w:color="auto"/>
        <w:left w:val="none" w:sz="0" w:space="0" w:color="auto"/>
        <w:bottom w:val="none" w:sz="0" w:space="0" w:color="auto"/>
        <w:right w:val="none" w:sz="0" w:space="0" w:color="auto"/>
      </w:divBdr>
    </w:div>
    <w:div w:id="1436100235">
      <w:bodyDiv w:val="1"/>
      <w:marLeft w:val="0"/>
      <w:marRight w:val="0"/>
      <w:marTop w:val="0"/>
      <w:marBottom w:val="0"/>
      <w:divBdr>
        <w:top w:val="none" w:sz="0" w:space="0" w:color="auto"/>
        <w:left w:val="none" w:sz="0" w:space="0" w:color="auto"/>
        <w:bottom w:val="none" w:sz="0" w:space="0" w:color="auto"/>
        <w:right w:val="none" w:sz="0" w:space="0" w:color="auto"/>
      </w:divBdr>
    </w:div>
    <w:div w:id="1539926744">
      <w:bodyDiv w:val="1"/>
      <w:marLeft w:val="0"/>
      <w:marRight w:val="0"/>
      <w:marTop w:val="0"/>
      <w:marBottom w:val="0"/>
      <w:divBdr>
        <w:top w:val="none" w:sz="0" w:space="0" w:color="auto"/>
        <w:left w:val="none" w:sz="0" w:space="0" w:color="auto"/>
        <w:bottom w:val="none" w:sz="0" w:space="0" w:color="auto"/>
        <w:right w:val="none" w:sz="0" w:space="0" w:color="auto"/>
      </w:divBdr>
    </w:div>
    <w:div w:id="1564294592">
      <w:bodyDiv w:val="1"/>
      <w:marLeft w:val="0"/>
      <w:marRight w:val="0"/>
      <w:marTop w:val="0"/>
      <w:marBottom w:val="0"/>
      <w:divBdr>
        <w:top w:val="none" w:sz="0" w:space="0" w:color="auto"/>
        <w:left w:val="none" w:sz="0" w:space="0" w:color="auto"/>
        <w:bottom w:val="none" w:sz="0" w:space="0" w:color="auto"/>
        <w:right w:val="none" w:sz="0" w:space="0" w:color="auto"/>
      </w:divBdr>
    </w:div>
    <w:div w:id="1834831444">
      <w:bodyDiv w:val="1"/>
      <w:marLeft w:val="0"/>
      <w:marRight w:val="0"/>
      <w:marTop w:val="0"/>
      <w:marBottom w:val="0"/>
      <w:divBdr>
        <w:top w:val="none" w:sz="0" w:space="0" w:color="auto"/>
        <w:left w:val="none" w:sz="0" w:space="0" w:color="auto"/>
        <w:bottom w:val="none" w:sz="0" w:space="0" w:color="auto"/>
        <w:right w:val="none" w:sz="0" w:space="0" w:color="auto"/>
      </w:divBdr>
    </w:div>
    <w:div w:id="1851606141">
      <w:bodyDiv w:val="1"/>
      <w:marLeft w:val="0"/>
      <w:marRight w:val="0"/>
      <w:marTop w:val="0"/>
      <w:marBottom w:val="0"/>
      <w:divBdr>
        <w:top w:val="none" w:sz="0" w:space="0" w:color="auto"/>
        <w:left w:val="none" w:sz="0" w:space="0" w:color="auto"/>
        <w:bottom w:val="none" w:sz="0" w:space="0" w:color="auto"/>
        <w:right w:val="none" w:sz="0" w:space="0" w:color="auto"/>
      </w:divBdr>
    </w:div>
    <w:div w:id="1893536272">
      <w:bodyDiv w:val="1"/>
      <w:marLeft w:val="0"/>
      <w:marRight w:val="0"/>
      <w:marTop w:val="0"/>
      <w:marBottom w:val="0"/>
      <w:divBdr>
        <w:top w:val="none" w:sz="0" w:space="0" w:color="auto"/>
        <w:left w:val="none" w:sz="0" w:space="0" w:color="auto"/>
        <w:bottom w:val="none" w:sz="0" w:space="0" w:color="auto"/>
        <w:right w:val="none" w:sz="0" w:space="0" w:color="auto"/>
      </w:divBdr>
    </w:div>
    <w:div w:id="1903787375">
      <w:bodyDiv w:val="1"/>
      <w:marLeft w:val="0"/>
      <w:marRight w:val="0"/>
      <w:marTop w:val="0"/>
      <w:marBottom w:val="0"/>
      <w:divBdr>
        <w:top w:val="none" w:sz="0" w:space="0" w:color="auto"/>
        <w:left w:val="none" w:sz="0" w:space="0" w:color="auto"/>
        <w:bottom w:val="none" w:sz="0" w:space="0" w:color="auto"/>
        <w:right w:val="none" w:sz="0" w:space="0" w:color="auto"/>
      </w:divBdr>
    </w:div>
    <w:div w:id="1939290273">
      <w:bodyDiv w:val="1"/>
      <w:marLeft w:val="0"/>
      <w:marRight w:val="0"/>
      <w:marTop w:val="0"/>
      <w:marBottom w:val="0"/>
      <w:divBdr>
        <w:top w:val="none" w:sz="0" w:space="0" w:color="auto"/>
        <w:left w:val="none" w:sz="0" w:space="0" w:color="auto"/>
        <w:bottom w:val="none" w:sz="0" w:space="0" w:color="auto"/>
        <w:right w:val="none" w:sz="0" w:space="0" w:color="auto"/>
      </w:divBdr>
    </w:div>
    <w:div w:id="1992249545">
      <w:bodyDiv w:val="1"/>
      <w:marLeft w:val="0"/>
      <w:marRight w:val="0"/>
      <w:marTop w:val="0"/>
      <w:marBottom w:val="0"/>
      <w:divBdr>
        <w:top w:val="none" w:sz="0" w:space="0" w:color="auto"/>
        <w:left w:val="none" w:sz="0" w:space="0" w:color="auto"/>
        <w:bottom w:val="none" w:sz="0" w:space="0" w:color="auto"/>
        <w:right w:val="none" w:sz="0" w:space="0" w:color="auto"/>
      </w:divBdr>
    </w:div>
    <w:div w:id="2034375873">
      <w:bodyDiv w:val="1"/>
      <w:marLeft w:val="0"/>
      <w:marRight w:val="0"/>
      <w:marTop w:val="0"/>
      <w:marBottom w:val="0"/>
      <w:divBdr>
        <w:top w:val="none" w:sz="0" w:space="0" w:color="auto"/>
        <w:left w:val="none" w:sz="0" w:space="0" w:color="auto"/>
        <w:bottom w:val="none" w:sz="0" w:space="0" w:color="auto"/>
        <w:right w:val="none" w:sz="0" w:space="0" w:color="auto"/>
      </w:divBdr>
    </w:div>
    <w:div w:id="2075736883">
      <w:bodyDiv w:val="1"/>
      <w:marLeft w:val="0"/>
      <w:marRight w:val="0"/>
      <w:marTop w:val="0"/>
      <w:marBottom w:val="0"/>
      <w:divBdr>
        <w:top w:val="none" w:sz="0" w:space="0" w:color="auto"/>
        <w:left w:val="none" w:sz="0" w:space="0" w:color="auto"/>
        <w:bottom w:val="none" w:sz="0" w:space="0" w:color="auto"/>
        <w:right w:val="none" w:sz="0" w:space="0" w:color="auto"/>
      </w:divBdr>
    </w:div>
    <w:div w:id="2104913420">
      <w:bodyDiv w:val="1"/>
      <w:marLeft w:val="0"/>
      <w:marRight w:val="0"/>
      <w:marTop w:val="0"/>
      <w:marBottom w:val="0"/>
      <w:divBdr>
        <w:top w:val="none" w:sz="0" w:space="0" w:color="auto"/>
        <w:left w:val="none" w:sz="0" w:space="0" w:color="auto"/>
        <w:bottom w:val="none" w:sz="0" w:space="0" w:color="auto"/>
        <w:right w:val="none" w:sz="0" w:space="0" w:color="auto"/>
      </w:divBdr>
    </w:div>
    <w:div w:id="214450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6</Pages>
  <Words>1271</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SobbyBchell@outlook.com</dc:creator>
  <cp:keywords/>
  <dc:description/>
  <cp:lastModifiedBy>Robert Schell</cp:lastModifiedBy>
  <cp:revision>17</cp:revision>
  <dcterms:created xsi:type="dcterms:W3CDTF">2022-06-17T19:00:00Z</dcterms:created>
  <dcterms:modified xsi:type="dcterms:W3CDTF">2023-08-18T09:10:00Z</dcterms:modified>
</cp:coreProperties>
</file>