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mbria" w:hAnsi="Cambria"/>
          <w:b/>
          <w:color w:val="6E1526"/>
          <w:sz w:val="40"/>
        </w:rPr>
        <w:t>Small-business credit: the vintage you are buying is younger than its number</w:t>
      </w:r>
    </w:p>
    <w:p>
      <w:r>
        <w:rPr>
          <w:color w:val="6E7B77"/>
          <w:sz w:val="24"/>
        </w:rPr>
        <w:t>Executive summary for the investment committee  ·  2 September 2026</w:t>
      </w:r>
    </w:p>
    <w:p/>
    <w:p>
      <w:pPr>
        <w:pStyle w:val="Heading2"/>
      </w:pPr>
      <w:r>
        <w:rPr>
          <w:rFonts w:ascii="Cambria" w:hAnsi="Cambria"/>
          <w:color w:val="6E1526"/>
        </w:rPr>
        <w:t>What we set out to test</w:t>
      </w:r>
    </w:p>
    <w:p>
      <w:r>
        <w:rPr>
          <w:b w:val="0"/>
          <w:i w:val="0"/>
          <w:color w:val="1A1815"/>
          <w:sz w:val="22"/>
        </w:rPr>
        <w:t>The fund has to commit an expected-loss assumption for a book of US small-business loans now. The only evidence available for that decision is the charge-off rate of recent origination years — and we suspected that evidence is systematically flattering, because a loan approved eighteen months ago has not had time to default.</w:t>
      </w:r>
    </w:p>
    <w:p>
      <w:r>
        <w:rPr>
          <w:b/>
          <w:i w:val="0"/>
          <w:color w:val="1A1815"/>
          <w:sz w:val="22"/>
        </w:rPr>
        <w:t>We wrote three expectations down before opening the data. Two of them turned out to be wrong, and the way they were wrong is the useful part.</w:t>
      </w:r>
    </w:p>
    <w:p>
      <w:pPr>
        <w:pStyle w:val="Heading2"/>
      </w:pPr>
      <w:r>
        <w:rPr>
          <w:rFonts w:ascii="Cambria" w:hAnsi="Cambria"/>
          <w:color w:val="6E1526"/>
        </w:rPr>
        <w:t>What we found</w:t>
      </w:r>
    </w:p>
    <w:p>
      <w:r>
        <w:rPr>
          <w:b/>
          <w:i w:val="0"/>
          <w:color w:val="1A1815"/>
          <w:sz w:val="22"/>
        </w:rPr>
        <w:t>A three-year-old vintage has shown you less than a quarter of what it will cost.</w:t>
      </w:r>
    </w:p>
    <w:p>
      <w:r>
        <w:rPr>
          <w:b w:val="0"/>
          <w:i w:val="0"/>
          <w:color w:val="1A1815"/>
          <w:sz w:val="22"/>
        </w:rPr>
        <w:t>Across the twenty-four vintages old enough to have finished, only 23.5% of eventual charge-offs have occurred by month 36. The median default lands at month 58 — year five, not year three. More than two-fifths of the loss is still ahead at the five-year mark.</w:t>
      </w:r>
    </w:p>
    <w:p>
      <w:pPr>
        <w:jc w:val="center"/>
      </w:pPr>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02_a_los_tres_anos.png"/>
                    <pic:cNvPicPr/>
                  </pic:nvPicPr>
                  <pic:blipFill>
                    <a:blip r:embed="rId9"/>
                    <a:stretch>
                      <a:fillRect/>
                    </a:stretch>
                  </pic:blipFill>
                  <pic:spPr>
                    <a:xfrm>
                      <a:off x="0" y="0"/>
                      <a:ext cx="5486400" cy="3657600"/>
                    </a:xfrm>
                    <a:prstGeom prst="rect"/>
                  </pic:spPr>
                </pic:pic>
              </a:graphicData>
            </a:graphic>
          </wp:inline>
        </w:drawing>
      </w:r>
    </w:p>
    <w:p>
      <w:pPr>
        <w:jc w:val="center"/>
      </w:pPr>
      <w:r>
        <w:rPr>
          <w:i/>
          <w:color w:val="6E7B77"/>
          <w:sz w:val="19"/>
        </w:rPr>
        <w:t>Share of eventual charge-offs already recorded, by months since approval.</w:t>
      </w:r>
    </w:p>
    <w:p>
      <w:r>
        <w:rPr>
          <w:b/>
          <w:i w:val="0"/>
          <w:color w:val="1A1815"/>
          <w:sz w:val="22"/>
        </w:rPr>
        <w:t>The 2023 vintage is on track to be the worst since 2010.</w:t>
      </w:r>
    </w:p>
    <w:p>
      <w:r>
        <w:rPr>
          <w:b w:val="0"/>
          <w:i w:val="0"/>
          <w:color w:val="1A1815"/>
          <w:sz w:val="22"/>
        </w:rPr>
        <w:t>It has recorded 0.75 cents of loss per dollar approved, which reads as excellent. Corrected for age it projects to 4.24 cents, with an interquartile band of 3.28 to 6.18. Twelve consecutive vintages, 2011 through 2022, landed below that. In loan-count terms the same vintage moves from 3.5% to 12.2%. The 2024 and 2025 books are published as a labelled gap rather than a number: they have realised 5.9% and 0.2% of their eventual loss, and multiplying those up would produce a confident-looking figure resting on almost nothing.</w:t>
      </w:r>
    </w:p>
    <w:p>
      <w:pPr>
        <w:jc w:val="center"/>
      </w:pPr>
      <w:r>
        <w:drawing>
          <wp:inline xmlns:a="http://schemas.openxmlformats.org/drawingml/2006/main" xmlns:pic="http://schemas.openxmlformats.org/drawingml/2006/picture">
            <wp:extent cx="5486400" cy="3886200"/>
            <wp:docPr id="2" name="Picture 2"/>
            <wp:cNvGraphicFramePr>
              <a:graphicFrameLocks noChangeAspect="1"/>
            </wp:cNvGraphicFramePr>
            <a:graphic>
              <a:graphicData uri="http://schemas.openxmlformats.org/drawingml/2006/picture">
                <pic:pic>
                  <pic:nvPicPr>
                    <pic:cNvPr id="0" name="01_lo_que_falta_por_llegar.png"/>
                    <pic:cNvPicPr/>
                  </pic:nvPicPr>
                  <pic:blipFill>
                    <a:blip r:embed="rId10"/>
                    <a:stretch>
                      <a:fillRect/>
                    </a:stretch>
                  </pic:blipFill>
                  <pic:spPr>
                    <a:xfrm>
                      <a:off x="0" y="0"/>
                      <a:ext cx="5486400" cy="3886200"/>
                    </a:xfrm>
                    <a:prstGeom prst="rect"/>
                  </pic:spPr>
                </pic:pic>
              </a:graphicData>
            </a:graphic>
          </wp:inline>
        </w:drawing>
      </w:r>
    </w:p>
    <w:p>
      <w:pPr>
        <w:jc w:val="center"/>
      </w:pPr>
      <w:r>
        <w:rPr>
          <w:i/>
          <w:color w:val="6E7B77"/>
          <w:sz w:val="19"/>
        </w:rPr>
        <w:t>Loss already recorded and, above it, what the maturation of completed vintages implies is still to come.</w:t>
      </w:r>
    </w:p>
    <w:p>
      <w:r>
        <w:rPr>
          <w:b/>
          <w:i w:val="0"/>
          <w:color w:val="1A1815"/>
          <w:sz w:val="22"/>
        </w:rPr>
        <w:t>2020 and 2021 look like the best underwriting in a decade. They are not.</w:t>
      </w:r>
    </w:p>
    <w:p>
      <w:r>
        <w:rPr>
          <w:b w:val="0"/>
          <w:i w:val="0"/>
          <w:color w:val="1A1815"/>
          <w:sz w:val="22"/>
        </w:rPr>
        <w:t>At the same age they default at roughly half the rate of every neighbouring vintage — 0.85% and 0.77% against 1.58% to 1.98%. Under CARES Act section 1112 the government was paying instalments on many of these loans. Added to a 2016–2019 calibration sample, those two years pull its rate at 36 months from 1.83% to 1.49% — about 18% too low.</w:t>
      </w:r>
    </w:p>
    <w:p>
      <w:pPr>
        <w:jc w:val="center"/>
      </w:pPr>
      <w:r>
        <w:drawing>
          <wp:inline xmlns:a="http://schemas.openxmlformats.org/drawingml/2006/main" xmlns:pic="http://schemas.openxmlformats.org/drawingml/2006/picture">
            <wp:extent cx="5486400" cy="3227294"/>
            <wp:docPr id="3" name="Picture 3"/>
            <wp:cNvGraphicFramePr>
              <a:graphicFrameLocks noChangeAspect="1"/>
            </wp:cNvGraphicFramePr>
            <a:graphic>
              <a:graphicData uri="http://schemas.openxmlformats.org/drawingml/2006/picture">
                <pic:pic>
                  <pic:nvPicPr>
                    <pic:cNvPr id="0" name="04_artefacto_de_politica.png"/>
                    <pic:cNvPicPr/>
                  </pic:nvPicPr>
                  <pic:blipFill>
                    <a:blip r:embed="rId11"/>
                    <a:stretch>
                      <a:fillRect/>
                    </a:stretch>
                  </pic:blipFill>
                  <pic:spPr>
                    <a:xfrm>
                      <a:off x="0" y="0"/>
                      <a:ext cx="5486400" cy="3227294"/>
                    </a:xfrm>
                    <a:prstGeom prst="rect"/>
                  </pic:spPr>
                </pic:pic>
              </a:graphicData>
            </a:graphic>
          </wp:inline>
        </w:drawing>
      </w:r>
    </w:p>
    <w:p>
      <w:pPr>
        <w:jc w:val="center"/>
      </w:pPr>
      <w:r>
        <w:rPr>
          <w:i/>
          <w:color w:val="6E7B77"/>
          <w:sz w:val="19"/>
        </w:rPr>
        <w:t>Identical axes: same age, half the default rate, for a reason that is not credit.</w:t>
      </w:r>
    </w:p>
    <w:p>
      <w:r>
        <w:rPr>
          <w:b/>
          <w:i w:val="0"/>
          <w:color w:val="1A1815"/>
          <w:sz w:val="22"/>
        </w:rPr>
        <w:t>What the correction does not do is reshuffle the league table.</w:t>
      </w:r>
    </w:p>
    <w:p>
      <w:r>
        <w:rPr>
          <w:b w:val="0"/>
          <w:i w:val="0"/>
          <w:color w:val="1A1815"/>
          <w:sz w:val="22"/>
        </w:rPr>
        <w:t>At five and seven years the five worst vintages are the same whether you read raw rates or rates at equal age; at three years one swaps places. The mistake a fund makes is not picking the wrong worst year — it is believing a young year’s number.</w:t>
      </w:r>
    </w:p>
    <w:p>
      <w:pPr>
        <w:jc w:val="center"/>
      </w:pPr>
      <w:r>
        <w:drawing>
          <wp:inline xmlns:a="http://schemas.openxmlformats.org/drawingml/2006/main" xmlns:pic="http://schemas.openxmlformats.org/drawingml/2006/picture">
            <wp:extent cx="5486400" cy="3886200"/>
            <wp:docPr id="4" name="Picture 4"/>
            <wp:cNvGraphicFramePr>
              <a:graphicFrameLocks noChangeAspect="1"/>
            </wp:cNvGraphicFramePr>
            <a:graphic>
              <a:graphicData uri="http://schemas.openxmlformats.org/drawingml/2006/picture">
                <pic:pic>
                  <pic:nvPicPr>
                    <pic:cNvPr id="0" name="03_nivel_no_orden.png"/>
                    <pic:cNvPicPr/>
                  </pic:nvPicPr>
                  <pic:blipFill>
                    <a:blip r:embed="rId12"/>
                    <a:stretch>
                      <a:fillRect/>
                    </a:stretch>
                  </pic:blipFill>
                  <pic:spPr>
                    <a:xfrm>
                      <a:off x="0" y="0"/>
                      <a:ext cx="5486400" cy="3886200"/>
                    </a:xfrm>
                    <a:prstGeom prst="rect"/>
                  </pic:spPr>
                </pic:pic>
              </a:graphicData>
            </a:graphic>
          </wp:inline>
        </w:drawing>
      </w:r>
    </w:p>
    <w:p>
      <w:pPr>
        <w:jc w:val="center"/>
      </w:pPr>
      <w:r>
        <w:rPr>
          <w:i/>
          <w:color w:val="6E7B77"/>
          <w:sz w:val="19"/>
        </w:rPr>
        <w:t>Rank of each vintage under four readings. The order barely moves.</w:t>
      </w:r>
    </w:p>
    <w:p>
      <w:r>
        <w:rPr>
          <w:b/>
          <w:i w:val="0"/>
          <w:color w:val="1A1815"/>
          <w:sz w:val="22"/>
        </w:rPr>
        <w:t>The loss concentrates in short-term, small-ticket lending.</w:t>
      </w:r>
    </w:p>
    <w:p>
      <w:r>
        <w:rPr>
          <w:b w:val="0"/>
          <w:i w:val="0"/>
          <w:color w:val="1A1815"/>
          <w:sz w:val="22"/>
        </w:rPr>
        <w:t>At 60 months, averaged across the 2010–2019 vintages, loans of seven years or less charge off at 5.67% against 0.39% for loans over twenty years. That is where the loss sits — though term is a proxy for product and collateral, so it is a statement about which business you are in, not a lever to pull.</w:t>
      </w:r>
    </w:p>
    <w:p>
      <w:pPr>
        <w:pStyle w:val="Heading2"/>
      </w:pPr>
      <w:r>
        <w:rPr>
          <w:rFonts w:ascii="Cambria" w:hAnsi="Cambria"/>
          <w:color w:val="6E1526"/>
        </w:rPr>
        <w:t>What we recommend</w:t>
      </w:r>
    </w:p>
    <w:p>
      <w:pPr>
        <w:pStyle w:val="ListBullet"/>
      </w:pPr>
      <w:r>
        <w:rPr>
          <w:b/>
          <w:color w:val="1A1815"/>
          <w:sz w:val="22"/>
        </w:rPr>
        <w:t xml:space="preserve">Price the book off a maturation curve, not off its observed rate. </w:t>
      </w:r>
      <w:r>
        <w:rPr>
          <w:color w:val="1A1815"/>
          <w:sz w:val="22"/>
        </w:rPr>
        <w:t>For a 2023-like book the loss input moves from 0.75 to 4.24 cents per dollar approved. Low effort: a change of input plus a quarterly re-run.</w:t>
      </w:r>
    </w:p>
    <w:p>
      <w:pPr>
        <w:pStyle w:val="ListBullet"/>
      </w:pPr>
      <w:r>
        <w:rPr>
          <w:b/>
          <w:color w:val="1A1815"/>
          <w:sz w:val="22"/>
        </w:rPr>
        <w:t xml:space="preserve">Keep 2020 and 2021 out of any calibration sample, </w:t>
      </w:r>
      <w:r>
        <w:rPr>
          <w:color w:val="1A1815"/>
          <w:sz w:val="22"/>
        </w:rPr>
        <w:t>and use 2016–2019 as the modern reference window. Low effort.</w:t>
      </w:r>
    </w:p>
    <w:p>
      <w:pPr>
        <w:pStyle w:val="ListBullet"/>
      </w:pPr>
      <w:r>
        <w:rPr>
          <w:b/>
          <w:color w:val="1A1815"/>
          <w:sz w:val="22"/>
        </w:rPr>
        <w:t xml:space="preserve">Underwrite the short-term, small-ticket segment on its own terms </w:t>
      </w:r>
      <w:r>
        <w:rPr>
          <w:color w:val="1A1815"/>
          <w:sz w:val="22"/>
        </w:rPr>
        <w:t>instead of at a portfolio average. Medium effort: it touches origination policy, not a single number.</w:t>
      </w:r>
    </w:p>
    <w:p>
      <w:pPr>
        <w:pStyle w:val="Heading2"/>
      </w:pPr>
      <w:r>
        <w:rPr>
          <w:rFonts w:ascii="Cambria" w:hAnsi="Cambria"/>
          <w:color w:val="6E1526"/>
        </w:rPr>
        <w:t>What this analysis cannot tell you</w:t>
      </w:r>
    </w:p>
    <w:p>
      <w:r>
        <w:rPr>
          <w:b w:val="0"/>
          <w:i w:val="0"/>
          <w:color w:val="1A1815"/>
          <w:sz w:val="22"/>
        </w:rPr>
        <w:t>These are SBA-guaranteed loans. The shape of the maturation curve transfers to unguaranteed private credit; the level does not, and nothing here can calibrate that gap. Every figure is gross loss — SBA’s own recovery tables put mature cohorts at 34–39% recovered, so a fund’s eventual loss is roughly a third lower than these numbers, though that is a bound and not a conversion: recovery is measured against a different amount and on a different year axis. Nothing here is causal: the case describes how vintages behave, not what moves them. And the projection assumes the loss timing of 1991–2014 still holds; if today’s borrowers fail on a different schedule, the method is wrong in a way it cannot detect on its own.</w:t>
      </w:r>
    </w:p>
    <w:p>
      <w:r>
        <w:rPr>
          <w:b w:val="0"/>
          <w:i w:val="0"/>
          <w:color w:val="1A1815"/>
          <w:sz w:val="22"/>
        </w:rPr>
        <w:t>The population itself is not in doubt. It reconciles against SBA’s published performance tables — a different reporting pipeline from the disclosure extract this case is built on — with a maximum deviation of four loans across nine fiscal years of 42,000 to 70,000 each, and exactly in three of them. Amounts sit 0.7–1.7% below the published figures in every single year, which the report’s own definition explains: it counts loan increases made after approval, and the extract does not carry them.</w:t>
      </w:r>
    </w:p>
    <w:p>
      <w:r>
        <w:rPr>
          <w:b w:val="0"/>
          <w:i/>
          <w:color w:val="6E7B77"/>
          <w:sz w:val="20"/>
        </w:rPr>
        <w:t>Full method, checks and decision log: CASO.md in the case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81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