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4.png" ContentType="image/png"/>
  <Override PartName="/word/media/rId26.png" ContentType="image/png"/>
  <Override PartName="/word/media/rId28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Precio</w:t>
      </w:r>
      <w:r>
        <w:t xml:space="preserve"> </w:t>
      </w:r>
      <w:r>
        <w:t xml:space="preserve">y</w:t>
      </w:r>
      <w:r>
        <w:t xml:space="preserve"> </w:t>
      </w:r>
      <w:r>
        <w:t xml:space="preserve">recepción</w:t>
      </w:r>
      <w:r>
        <w:t xml:space="preserve"> </w:t>
      </w:r>
      <w:r>
        <w:t xml:space="preserve">en</w:t>
      </w:r>
      <w:r>
        <w:t xml:space="preserve"> </w:t>
      </w:r>
      <w:r>
        <w:t xml:space="preserve">Steam:</w:t>
      </w:r>
      <w:r>
        <w:t xml:space="preserve"> </w:t>
      </w:r>
      <w:r>
        <w:t xml:space="preserve">¿dónde</w:t>
      </w:r>
      <w:r>
        <w:t xml:space="preserve"> </w:t>
      </w:r>
      <w:r>
        <w:t xml:space="preserve">priorizar</w:t>
      </w:r>
      <w:r>
        <w:t xml:space="preserve"> </w:t>
      </w:r>
      <w:r>
        <w:t xml:space="preserve">due</w:t>
      </w:r>
      <w:r>
        <w:t xml:space="preserve"> </w:t>
      </w:r>
      <w:r>
        <w:t xml:space="preserve">diligence</w:t>
      </w:r>
      <w:r>
        <w:t xml:space="preserve"> </w:t>
      </w:r>
      <w:r>
        <w:t xml:space="preserve">de</w:t>
      </w:r>
      <w:r>
        <w:t xml:space="preserve"> </w:t>
      </w:r>
      <w:r>
        <w:t xml:space="preserve">inversión?</w:t>
      </w:r>
    </w:p>
    <w:p>
      <w:pPr>
        <w:pStyle w:val="Author"/>
      </w:pPr>
      <w:r>
        <w:t xml:space="preserve">Resumen</w:t>
      </w:r>
      <w:r>
        <w:t xml:space="preserve"> </w:t>
      </w:r>
      <w:r>
        <w:t xml:space="preserve">ejecutivo</w:t>
      </w:r>
      <w:r>
        <w:t xml:space="preserve"> </w:t>
      </w:r>
      <w:r>
        <w:t xml:space="preserve">—</w:t>
      </w:r>
      <w:r>
        <w:t xml:space="preserve"> </w:t>
      </w:r>
      <w:r>
        <w:t xml:space="preserve">Caso</w:t>
      </w:r>
      <w:r>
        <w:t xml:space="preserve"> </w:t>
      </w:r>
      <w:r>
        <w:t xml:space="preserve">de</w:t>
      </w:r>
      <w:r>
        <w:t xml:space="preserve"> </w:t>
      </w:r>
      <w:r>
        <w:t xml:space="preserve">estudio</w:t>
      </w:r>
      <w:r>
        <w:t xml:space="preserve"> </w:t>
      </w:r>
      <w:r>
        <w:t xml:space="preserve">de</w:t>
      </w:r>
      <w:r>
        <w:t xml:space="preserve"> </w:t>
      </w:r>
      <w:r>
        <w:t xml:space="preserve">portafolio</w:t>
      </w:r>
    </w:p>
    <w:p>
      <w:pPr>
        <w:pStyle w:val="Date"/>
      </w:pPr>
      <w:r>
        <w:t xml:space="preserve">28</w:t>
      </w:r>
      <w:r>
        <w:t xml:space="preserve"> </w:t>
      </w:r>
      <w:r>
        <w:t xml:space="preserve">de</w:t>
      </w:r>
      <w:r>
        <w:t xml:space="preserve"> </w:t>
      </w:r>
      <w:r>
        <w:t xml:space="preserve">julio</w:t>
      </w:r>
      <w:r>
        <w:t xml:space="preserve"> </w:t>
      </w:r>
      <w:r>
        <w:t xml:space="preserve">de</w:t>
      </w:r>
      <w:r>
        <w:t xml:space="preserve"> </w:t>
      </w:r>
      <w:r>
        <w:t xml:space="preserve">2026</w:t>
      </w:r>
    </w:p>
    <w:p>
      <w:pPr>
        <w:pStyle w:val="Heading2"/>
      </w:pPr>
      <w:bookmarkStart w:id="20" w:name="contexto"/>
      <w:r>
        <w:t xml:space="preserve">Contexto</w:t>
      </w:r>
      <w:bookmarkEnd w:id="20"/>
    </w:p>
    <w:p>
      <w:pPr>
        <w:pStyle w:val="FirstParagraph"/>
      </w:pPr>
      <w:r>
        <w:t xml:space="preserve">Un fondo de inversión evalúa entrar al sector de videojuegos y necesita un criterio, basado en</w:t>
      </w:r>
      <w:r>
        <w:t xml:space="preserve"> </w:t>
      </w:r>
      <w:r>
        <w:t xml:space="preserve">datos, para decidir en qué</w:t>
      </w:r>
      <w:r>
        <w:t xml:space="preserve"> </w:t>
      </w:r>
      <w:r>
        <w:rPr>
          <w:b/>
        </w:rPr>
        <w:t xml:space="preserve">género</w:t>
      </w:r>
      <w:r>
        <w:t xml:space="preserve"> </w:t>
      </w:r>
      <w:r>
        <w:t xml:space="preserve">priorizar su análisis de inversión (due diligence). Este</w:t>
      </w:r>
      <w:r>
        <w:t xml:space="preserve"> </w:t>
      </w:r>
      <w:r>
        <w:t xml:space="preserve">informe usa el catálogo histórico de Steam —el mayor mercado de videojuegos de PC— como muestra de</w:t>
      </w:r>
      <w:r>
        <w:t xml:space="preserve"> </w:t>
      </w:r>
      <w:r>
        <w:t xml:space="preserve">referencia del mercado.</w:t>
      </w:r>
    </w:p>
    <w:p>
      <w:pPr>
        <w:pStyle w:val="BodyText"/>
      </w:pPr>
      <w:r>
        <w:rPr>
          <w:b/>
        </w:rPr>
        <w:t xml:space="preserve">Pregunta que respondemos:</w:t>
      </w:r>
      <w:r>
        <w:t xml:space="preserve"> </w:t>
      </w:r>
      <w:r>
        <w:t xml:space="preserve">¿qué combinaciones de género y precio logran mejor recepción de los</w:t>
      </w:r>
      <w:r>
        <w:t xml:space="preserve"> </w:t>
      </w:r>
      <w:r>
        <w:t xml:space="preserve">jugadores (medida en % de reseñas positivas), y qué géneros son por tanto mejores candidatos de</w:t>
      </w:r>
      <w:r>
        <w:t xml:space="preserve"> </w:t>
      </w:r>
      <w:r>
        <w:t xml:space="preserve">inversión?</w:t>
      </w:r>
    </w:p>
    <w:p>
      <w:pPr>
        <w:pStyle w:val="Heading2"/>
      </w:pPr>
      <w:bookmarkStart w:id="21" w:name="qué-hicimos"/>
      <w:r>
        <w:t xml:space="preserve">Qué hicimos</w:t>
      </w:r>
      <w:bookmarkEnd w:id="21"/>
    </w:p>
    <w:p>
      <w:pPr>
        <w:pStyle w:val="FirstParagraph"/>
      </w:pPr>
      <w:r>
        <w:t xml:space="preserve">Analizamos 117.430 juegos publicados en Steam. Para aislar una señal confiable, nos concentramos en</w:t>
      </w:r>
      <w:r>
        <w:t xml:space="preserve"> </w:t>
      </w:r>
      <w:r>
        <w:t xml:space="preserve">los 8.998 juegos de pago con al menos 500 reseñas —el volumen mínimo para que el % de reseñas</w:t>
      </w:r>
      <w:r>
        <w:t xml:space="preserve"> </w:t>
      </w:r>
      <w:r>
        <w:t xml:space="preserve">positivas sea estadísticamente confiable— y los agrupamos en 10 géneros reales de videojuego y 4</w:t>
      </w:r>
      <w:r>
        <w:t xml:space="preserve"> </w:t>
      </w:r>
      <w:r>
        <w:t xml:space="preserve">franjas de precio (de la más barata a la más cara, calculadas sobre los datos mismos). Los precios</w:t>
      </w:r>
      <w:r>
        <w:t xml:space="preserve"> </w:t>
      </w:r>
      <w:r>
        <w:t xml:space="preserve">se ajustaron por inflación para poder comparar juegos de distintos años en igualdad de</w:t>
      </w:r>
      <w:r>
        <w:t xml:space="preserve"> </w:t>
      </w:r>
      <w:r>
        <w:t xml:space="preserve">condiciones.</w:t>
      </w:r>
    </w:p>
    <w:p>
      <w:pPr>
        <w:pStyle w:val="Heading2"/>
      </w:pPr>
      <w:bookmarkStart w:id="22" w:name="hallazgo-principal"/>
      <w:r>
        <w:t xml:space="preserve">Hallazgo principal</w:t>
      </w:r>
      <w:bookmarkEnd w:id="22"/>
    </w:p>
    <w:p>
      <w:pPr>
        <w:pStyle w:val="FirstParagraph"/>
      </w:pPr>
      <w:r>
        <w:rPr>
          <w:b/>
        </w:rPr>
        <w:t xml:space="preserve">La franja de precio más barata es, en los 10 géneros sin excepción, la que peor recepción</w:t>
      </w:r>
      <w:r>
        <w:rPr>
          <w:b/>
        </w:rPr>
        <w:t xml:space="preserve"> </w:t>
      </w:r>
      <w:r>
        <w:rPr>
          <w:b/>
        </w:rPr>
        <w:t xml:space="preserve">recibe.</w:t>
      </w:r>
      <w:r>
        <w:t xml:space="preserve"> </w:t>
      </w:r>
      <w:r>
        <w:t xml:space="preserve">La mejor recepción no está en el precio más alto posible, sino en un rango medio-alto</w:t>
      </w:r>
      <w:r>
        <w:t xml:space="preserve"> </w:t>
      </w:r>
      <w:r>
        <w:t xml:space="preserve">(aproximadamente entre 6 y 12 dólares ajustados, según el género).</w:t>
      </w:r>
    </w:p>
    <w:p>
      <w:pPr>
        <w:pStyle w:val="CaptionedFigure"/>
      </w:pPr>
      <w:r>
        <w:drawing>
          <wp:inline>
            <wp:extent cx="5334000" cy="3837567"/>
            <wp:effectExtent b="0" l="0" r="0" t="0"/>
            <wp:docPr descr="La franja más barata es la de peor recepción en los 10 géneros de Steam" title="" id="1" name="Picture"/>
            <a:graphic>
              <a:graphicData uri="http://schemas.openxmlformats.org/drawingml/2006/picture">
                <pic:pic>
                  <pic:nvPicPr>
                    <pic:cNvPr descr="/sessions/upbeat-brave-euler/mnt/Videojuegos/salidas/graficos/01_q1_vs_mejor_franja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375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 franja más barata es la de peor recepción en los 10 géneros de Steam</w:t>
      </w:r>
    </w:p>
    <w:p>
      <w:pPr>
        <w:pStyle w:val="BodyText"/>
      </w:pPr>
      <w:r>
        <w:t xml:space="preserve">La diferencia es real pero moderada: entre 2,5 y 5 puntos porcentuales de mejora al pasar de la</w:t>
      </w:r>
      <w:r>
        <w:t xml:space="preserve"> </w:t>
      </w:r>
      <w:r>
        <w:t xml:space="preserve">franja más barata a la mejor franja de cada género. No es un efecto dramático, pero sí consistente</w:t>
      </w:r>
      <w:r>
        <w:t xml:space="preserve"> </w:t>
      </w:r>
      <w:r>
        <w:t xml:space="preserve">en las 10 categorías.</w:t>
      </w:r>
    </w:p>
    <w:p>
      <w:pPr>
        <w:pStyle w:val="CaptionedFigure"/>
      </w:pPr>
      <w:r>
        <w:drawing>
          <wp:inline>
            <wp:extent cx="5334000" cy="3598969"/>
            <wp:effectExtent b="0" l="0" r="0" t="0"/>
            <wp:docPr descr="La mejor recepción se concentra en precios medios-altos, nunca en el más barato" title="" id="1" name="Picture"/>
            <a:graphic>
              <a:graphicData uri="http://schemas.openxmlformats.org/drawingml/2006/picture">
                <pic:pic>
                  <pic:nvPicPr>
                    <pic:cNvPr descr="/sessions/upbeat-brave-euler/mnt/Videojuegos/salidas/graficos/02_heatmap_genero_franja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989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 mejor recepción se concentra en precios medios-altos, nunca en el más barato</w:t>
      </w:r>
    </w:p>
    <w:p>
      <w:pPr>
        <w:pStyle w:val="Heading2"/>
      </w:pPr>
      <w:bookmarkStart w:id="25" w:name="Xe41e2dce540be813baba795cdaa210f74bb455f"/>
      <w:r>
        <w:t xml:space="preserve">Candidatos con mejor evidencia para due diligence</w:t>
      </w:r>
      <w:bookmarkEnd w:id="25"/>
    </w:p>
    <w:p>
      <w:pPr>
        <w:pStyle w:val="FirstParagraph"/>
      </w:pPr>
      <w:r>
        <w:t xml:space="preserve">De los 10 géneros, tres combinan el mejor efecto de precio, el mayor volumen de evidencia y la</w:t>
      </w:r>
      <w:r>
        <w:t xml:space="preserve"> </w:t>
      </w:r>
      <w:r>
        <w:t xml:space="preserve">recepción absoluta más alta:</w:t>
      </w:r>
      <w:r>
        <w:t xml:space="preserve"> </w:t>
      </w:r>
      <w:r>
        <w:rPr>
          <w:b/>
        </w:rPr>
        <w:t xml:space="preserve">Adventure, Indie y Casual.</w:t>
      </w:r>
    </w:p>
    <w:p>
      <w:pPr>
        <w:pStyle w:val="CaptionedFigure"/>
      </w:pPr>
      <w:r>
        <w:drawing>
          <wp:inline>
            <wp:extent cx="5334000" cy="4023758"/>
            <wp:effectExtent b="0" l="0" r="0" t="0"/>
            <wp:docPr descr="Adventure, Indie y Casual combinan mejor efecto, volumen y recepción absoluta" title="" id="1" name="Picture"/>
            <a:graphic>
              <a:graphicData uri="http://schemas.openxmlformats.org/drawingml/2006/picture">
                <pic:pic>
                  <pic:nvPicPr>
                    <pic:cNvPr descr="/sessions/upbeat-brave-euler/mnt/Videojuegos/salidas/graficos/03_ranking_efecto_candidato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23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Adventure, Indie y Casual combinan mejor efecto, volumen y recepción absoluta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Adventure</w:t>
      </w:r>
      <w:r>
        <w:t xml:space="preserve"> </w:t>
      </w:r>
      <w:r>
        <w:t xml:space="preserve">muestra el mayor salto de recepción entre la franja más barata y la mejor franja</w:t>
      </w:r>
      <w:r>
        <w:t xml:space="preserve"> </w:t>
      </w:r>
      <w:r>
        <w:t xml:space="preserve">(+5 puntos porcentuales), con 4.030 juegos de evidencia.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Indie</w:t>
      </w:r>
      <w:r>
        <w:t xml:space="preserve"> </w:t>
      </w:r>
      <w:r>
        <w:t xml:space="preserve">es el género con más volumen de evidencia (5.561 juegos) y una mejora sólida (+3,9</w:t>
      </w:r>
      <w:r>
        <w:t xml:space="preserve"> </w:t>
      </w:r>
      <w:r>
        <w:t xml:space="preserve">puntos).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Casual</w:t>
      </w:r>
      <w:r>
        <w:t xml:space="preserve"> </w:t>
      </w:r>
      <w:r>
        <w:t xml:space="preserve">tiene la recepción absoluta más alta de los 10 géneros en su mejor franja de precio</w:t>
      </w:r>
      <w:r>
        <w:t xml:space="preserve"> </w:t>
      </w:r>
      <w:r>
        <w:t xml:space="preserve">(89,6% de reseñas positivas), aunque con menor volumen (2.230 juegos).</w:t>
      </w:r>
    </w:p>
    <w:p>
      <w:pPr>
        <w:pStyle w:val="FirstParagraph"/>
      </w:pPr>
      <w:r>
        <w:rPr>
          <w:b/>
        </w:rPr>
        <w:t xml:space="preserve">Massively Multiplayer</w:t>
      </w:r>
      <w:r>
        <w:t xml:space="preserve"> </w:t>
      </w:r>
      <w:r>
        <w:t xml:space="preserve">queda fuera de esta lista: es el género con peor recepción en todas las</w:t>
      </w:r>
      <w:r>
        <w:t xml:space="preserve"> </w:t>
      </w:r>
      <w:r>
        <w:t xml:space="preserve">franjas de precio y con muy poca evidencia (176 juegos) — no hay datos suficientes para</w:t>
      </w:r>
      <w:r>
        <w:t xml:space="preserve"> </w:t>
      </w:r>
      <w:r>
        <w:t xml:space="preserve">recomendarlo ni para descartarlo con confianza.</w:t>
      </w:r>
    </w:p>
    <w:p>
      <w:pPr>
        <w:pStyle w:val="Heading2"/>
      </w:pPr>
      <w:bookmarkStart w:id="27" w:name="X2a4066a8d59a00f1e1299da3863b5b637bba9b8"/>
      <w:r>
        <w:t xml:space="preserve">¿Es esto un efecto de que los juegos baratos son simplemente más viejos?</w:t>
      </w:r>
      <w:bookmarkEnd w:id="27"/>
    </w:p>
    <w:p>
      <w:pPr>
        <w:pStyle w:val="FirstParagraph"/>
      </w:pPr>
      <w:r>
        <w:t xml:space="preserve">No. Repetimos el análisis separando juegos recientes de juegos más antiguos, y el patrón se</w:t>
      </w:r>
      <w:r>
        <w:t xml:space="preserve"> </w:t>
      </w:r>
      <w:r>
        <w:t xml:space="preserve">mantiene igual en ambos grupos: la franja más barata sigue siendo la de peor recepción,</w:t>
      </w:r>
      <w:r>
        <w:t xml:space="preserve"> </w:t>
      </w:r>
      <w:r>
        <w:t xml:space="preserve">independientemente de la edad del juego.</w:t>
      </w:r>
    </w:p>
    <w:p>
      <w:pPr>
        <w:pStyle w:val="CaptionedFigure"/>
      </w:pPr>
      <w:r>
        <w:drawing>
          <wp:inline>
            <wp:extent cx="5334000" cy="2102967"/>
            <wp:effectExtent b="0" l="0" r="0" t="0"/>
            <wp:docPr descr="El patrón se sostiene en juegos recientes y viejos: no es un efecto de antigüedad" title="" id="1" name="Picture"/>
            <a:graphic>
              <a:graphicData uri="http://schemas.openxmlformats.org/drawingml/2006/picture">
                <pic:pic>
                  <pic:nvPicPr>
                    <pic:cNvPr descr="/sessions/upbeat-brave-euler/mnt/Videojuegos/salidas/graficos/04_control_antiguedad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029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El patrón se sostiene en juegos recientes y viejos: no es un efecto de antigüedad</w:t>
      </w:r>
    </w:p>
    <w:p>
      <w:pPr>
        <w:pStyle w:val="Heading2"/>
      </w:pPr>
      <w:bookmarkStart w:id="29" w:name="qué-no-responde-este-análisis"/>
      <w:r>
        <w:t xml:space="preserve">Qué no responde este análisis</w:t>
      </w:r>
      <w:bookmarkEnd w:id="29"/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No prueba causalidad.</w:t>
      </w:r>
      <w:r>
        <w:t xml:space="preserve"> </w:t>
      </w:r>
      <w:r>
        <w:t xml:space="preserve">El patrón muestra una asociación entre precio y recepción, no que</w:t>
      </w:r>
      <w:r>
        <w:t xml:space="preserve"> </w:t>
      </w:r>
      <w:r>
        <w:t xml:space="preserve">subir el precio de un juego mejore automáticamente sus reseñas. Puede reflejar que los estudios</w:t>
      </w:r>
      <w:r>
        <w:t xml:space="preserve"> </w:t>
      </w:r>
      <w:r>
        <w:t xml:space="preserve">que cobran más también invierten más en calidad de producción.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No cubre la "cola larga.</w:t>
      </w:r>
      <w:r>
        <w:t xml:space="preserve">" Excluimos deliberadamente los juegos con menos de 500 reseñas</w:t>
      </w:r>
      <w:r>
        <w:t xml:space="preserve"> </w:t>
      </w:r>
      <w:r>
        <w:t xml:space="preserve">(34% del catálogo no tiene ninguna reseña) para mantener la confiabilidad estadística. Esa cola</w:t>
      </w:r>
      <w:r>
        <w:t xml:space="preserve"> </w:t>
      </w:r>
      <w:r>
        <w:t xml:space="preserve">queda como análisis adicional pendiente.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No mide reseñas a lo largo del tiempo,</w:t>
      </w:r>
      <w:r>
        <w:t xml:space="preserve"> </w:t>
      </w:r>
      <w:r>
        <w:t xml:space="preserve">solo el acumulado histórico de cada juego a la fecha</w:t>
      </w:r>
      <w:r>
        <w:t xml:space="preserve"> </w:t>
      </w:r>
      <w:r>
        <w:t xml:space="preserve">de recolección de los datos.</w:t>
      </w:r>
    </w:p>
    <w:p>
      <w:pPr>
        <w:numPr>
          <w:ilvl w:val="0"/>
          <w:numId w:val="1002"/>
        </w:numPr>
        <w:pStyle w:val="Compact"/>
      </w:pPr>
      <w:r>
        <w:t xml:space="preserve">Este análisis prioriza géneros;</w:t>
      </w:r>
      <w:r>
        <w:t xml:space="preserve"> </w:t>
      </w:r>
      <w:r>
        <w:rPr>
          <w:b/>
        </w:rPr>
        <w:t xml:space="preserve">no asigna presupuesto de inversión</w:t>
      </w:r>
      <w:r>
        <w:t xml:space="preserve"> </w:t>
      </w:r>
      <w:r>
        <w:t xml:space="preserve">ni reemplaza el due</w:t>
      </w:r>
      <w:r>
        <w:t xml:space="preserve"> </w:t>
      </w:r>
      <w:r>
        <w:t xml:space="preserve">diligence específico de cada estudio o publisher.</w:t>
      </w:r>
    </w:p>
    <w:p>
      <w:pPr>
        <w:pStyle w:val="Heading2"/>
      </w:pPr>
      <w:bookmarkStart w:id="30" w:name="próximo-paso"/>
      <w:r>
        <w:t xml:space="preserve">Próximo paso</w:t>
      </w:r>
      <w:bookmarkEnd w:id="30"/>
    </w:p>
    <w:p>
      <w:pPr>
        <w:pStyle w:val="FirstParagraph"/>
      </w:pPr>
      <w:r>
        <w:t xml:space="preserve">La fase de recomendaciones formales (fase 6 del caso) traducirá esta evidencia en una propuesta</w:t>
      </w:r>
      <w:r>
        <w:t xml:space="preserve"> </w:t>
      </w:r>
      <w:r>
        <w:t xml:space="preserve">concreta de priorización, con sus limitaciones y los datos adicionales recomendados antes de</w:t>
      </w:r>
      <w:r>
        <w:t xml:space="preserve"> </w:t>
      </w:r>
      <w:r>
        <w:t xml:space="preserve">comprometer capital.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Fuente: Steam Games Dataset (fronkongames, Kaggle, licencia CC BY 4.0) e índice de precios al</w:t>
      </w:r>
      <w:r>
        <w:rPr>
          <w:i/>
        </w:rPr>
        <w:t xml:space="preserve"> </w:t>
      </w:r>
      <w:r>
        <w:rPr>
          <w:i/>
        </w:rPr>
        <w:t xml:space="preserve">consumidor CPI-U (Bureau of Labor Statistics, EE. UU.). Caso de estudio de portafolio elaborado con</w:t>
      </w:r>
      <w:r>
        <w:rPr>
          <w:i/>
        </w:rPr>
        <w:t xml:space="preserve"> </w:t>
      </w:r>
      <w:r>
        <w:rPr>
          <w:i/>
        </w:rPr>
        <w:t xml:space="preserve">Python/pandas; metodología y verificaciones completas disponibles en el notebook técnico</w:t>
      </w:r>
      <w:r>
        <w:rPr>
          <w:i/>
        </w:rPr>
        <w:t xml:space="preserve"> </w:t>
      </w:r>
      <w:r>
        <w:rPr>
          <w:rStyle w:val="VerbatimChar"/>
          <w:i/>
        </w:rPr>
        <w:t xml:space="preserve">notebooks/caso_steam_precio_recepcion.ipynb</w:t>
      </w:r>
      <w:r>
        <w:rPr>
          <w:i/>
        </w:rPr>
        <w:t xml:space="preserve">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4" Target="media/rId24.png" /><Relationship Type="http://schemas.openxmlformats.org/officeDocument/2006/relationships/image" Id="rId26" Target="media/rId26.png" /><Relationship Type="http://schemas.openxmlformats.org/officeDocument/2006/relationships/image" Id="rId28" Target="media/rId28.png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Precio y recepción en Steam: ¿dónde priorizar due diligence de inversión?</dc:title>
  <dc:creator>Resumen ejecutivo — Caso de estudio de portafolio</dc:creator>
  <cp:keywords/>
  <dcterms:created xsi:type="dcterms:W3CDTF">2026-07-29T00:04:07Z</dcterms:created>
  <dcterms:modified xsi:type="dcterms:W3CDTF">2026-07-29T00:04:07Z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28 de julio de 2026</vt:lpwstr>
  </property>
</Properties>
</file>