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mbria" w:hAnsi="Cambria"/>
          <w:b/>
          <w:color w:val="1E2761"/>
          <w:sz w:val="40"/>
        </w:rPr>
        <w:t>Price and reception on Steam: where should investment due diligence be prioritised?</w:t>
      </w:r>
    </w:p>
    <w:p>
      <w:r>
        <w:rPr>
          <w:color w:val="6E7B91"/>
          <w:sz w:val="24"/>
        </w:rPr>
        <w:t>Executive summary — Portfolio case study  ·  July 28, 2026</w:t>
      </w:r>
    </w:p>
    <w:p/>
    <w:p>
      <w:pPr>
        <w:pStyle w:val="Heading2"/>
      </w:pPr>
      <w:r>
        <w:rPr>
          <w:rFonts w:ascii="Cambria" w:hAnsi="Cambria"/>
          <w:color w:val="1E2761"/>
        </w:rPr>
        <w:t>Context</w:t>
      </w:r>
    </w:p>
    <w:p>
      <w:r>
        <w:rPr>
          <w:b w:val="0"/>
          <w:i w:val="0"/>
          <w:color w:val="1A1A2E"/>
          <w:sz w:val="22"/>
        </w:rPr>
        <w:t>An investment fund is evaluating entry into the video game sector and needs a data-driven basis for deciding which genre to prioritise for its investment analysis (due diligence). This report uses Steam's historical catalogue — the largest PC game market — as a reference sample of the market.</w:t>
      </w:r>
    </w:p>
    <w:p>
      <w:r>
        <w:rPr>
          <w:b/>
        </w:rPr>
        <w:t xml:space="preserve">Question we answer: </w:t>
      </w:r>
      <w:r>
        <w:t>which genre and price combinations achieve the best reception from players (measured as % positive reviews), and which genres are therefore better investment candidates?</w:t>
      </w:r>
    </w:p>
    <w:p>
      <w:pPr>
        <w:pStyle w:val="Heading2"/>
      </w:pPr>
      <w:r>
        <w:rPr>
          <w:rFonts w:ascii="Cambria" w:hAnsi="Cambria"/>
          <w:color w:val="1E2761"/>
        </w:rPr>
        <w:t>What we did</w:t>
      </w:r>
    </w:p>
    <w:p>
      <w:r>
        <w:rPr>
          <w:b w:val="0"/>
          <w:i w:val="0"/>
          <w:color w:val="1A1A2E"/>
          <w:sz w:val="22"/>
        </w:rPr>
        <w:t>We analysed 117,430 games published on Steam. To isolate a reliable signal, we focused on the 8,998 paid games with at least 500 reviews — the minimum volume for the % positive reviews to be statistically reliable — and grouped them into 10 real video game genres and 4 price bands (from cheapest to most expensive, calculated from the data itself). Prices were adjusted for inflation so games from different years could be compared on equal footing.</w:t>
      </w:r>
    </w:p>
    <w:p>
      <w:pPr>
        <w:pStyle w:val="Heading2"/>
      </w:pPr>
      <w:r>
        <w:rPr>
          <w:rFonts w:ascii="Cambria" w:hAnsi="Cambria"/>
          <w:color w:val="1E2761"/>
        </w:rPr>
        <w:t>Main finding</w:t>
      </w:r>
    </w:p>
    <w:p>
      <w:r>
        <w:rPr>
          <w:b/>
        </w:rPr>
        <w:t>The cheapest price band is never the best-received, in any of the 10 genres, and in 9 of them it is the worst.</w:t>
      </w:r>
      <w:r>
        <w:t xml:space="preserve"> The best reception isn't always at the highest price either: depending on the genre, it sits in the mid-to-high range ($6.46-$12.36 adjusted) or above it.</w:t>
      </w:r>
    </w:p>
    <w:p>
      <w:pPr>
        <w:jc w:val="center"/>
      </w:pPr>
      <w:r>
        <w:drawing>
          <wp:inline xmlns:a="http://schemas.openxmlformats.org/drawingml/2006/main" xmlns:pic="http://schemas.openxmlformats.org/drawingml/2006/picture">
            <wp:extent cx="5486400" cy="4055165"/>
            <wp:docPr id="1" name="Picture 1"/>
            <wp:cNvGraphicFramePr>
              <a:graphicFrameLocks noChangeAspect="1"/>
            </wp:cNvGraphicFramePr>
            <a:graphic>
              <a:graphicData uri="http://schemas.openxmlformats.org/drawingml/2006/picture">
                <pic:pic>
                  <pic:nvPicPr>
                    <pic:cNvPr id="0" name="01_q1_vs_mejor_franja.png"/>
                    <pic:cNvPicPr/>
                  </pic:nvPicPr>
                  <pic:blipFill>
                    <a:blip r:embed="rId9"/>
                    <a:stretch>
                      <a:fillRect/>
                    </a:stretch>
                  </pic:blipFill>
                  <pic:spPr>
                    <a:xfrm>
                      <a:off x="0" y="0"/>
                      <a:ext cx="5486400" cy="4055165"/>
                    </a:xfrm>
                    <a:prstGeom prst="rect"/>
                  </pic:spPr>
                </pic:pic>
              </a:graphicData>
            </a:graphic>
          </wp:inline>
        </w:drawing>
      </w:r>
    </w:p>
    <w:p>
      <w:pPr>
        <w:jc w:val="center"/>
      </w:pPr>
      <w:r>
        <w:rPr>
          <w:i/>
          <w:color w:val="6E7B91"/>
          <w:sz w:val="19"/>
        </w:rPr>
        <w:t>The cheapest band is never the best-received in any Steam genre</w:t>
      </w:r>
    </w:p>
    <w:p>
      <w:r>
        <w:rPr>
          <w:b w:val="0"/>
          <w:i w:val="0"/>
          <w:color w:val="1A1A2E"/>
          <w:sz w:val="22"/>
        </w:rPr>
        <w:t>The difference is real but moderate: between 2.5 and 5 percentage points of improvement moving from the cheapest band to each genre's best band. Not a dramatic effect, but a consistent one across all 10 categories.</w:t>
      </w:r>
    </w:p>
    <w:p>
      <w:pPr>
        <w:jc w:val="center"/>
      </w:pPr>
      <w:r>
        <w:drawing>
          <wp:inline xmlns:a="http://schemas.openxmlformats.org/drawingml/2006/main" xmlns:pic="http://schemas.openxmlformats.org/drawingml/2006/picture">
            <wp:extent cx="5486400" cy="4174435"/>
            <wp:docPr id="2" name="Picture 2"/>
            <wp:cNvGraphicFramePr>
              <a:graphicFrameLocks noChangeAspect="1"/>
            </wp:cNvGraphicFramePr>
            <a:graphic>
              <a:graphicData uri="http://schemas.openxmlformats.org/drawingml/2006/picture">
                <pic:pic>
                  <pic:nvPicPr>
                    <pic:cNvPr id="0" name="02_heatmap_genero_franja.png"/>
                    <pic:cNvPicPr/>
                  </pic:nvPicPr>
                  <pic:blipFill>
                    <a:blip r:embed="rId10"/>
                    <a:stretch>
                      <a:fillRect/>
                    </a:stretch>
                  </pic:blipFill>
                  <pic:spPr>
                    <a:xfrm>
                      <a:off x="0" y="0"/>
                      <a:ext cx="5486400" cy="4174435"/>
                    </a:xfrm>
                    <a:prstGeom prst="rect"/>
                  </pic:spPr>
                </pic:pic>
              </a:graphicData>
            </a:graphic>
          </wp:inline>
        </w:drawing>
      </w:r>
    </w:p>
    <w:p>
      <w:pPr>
        <w:jc w:val="center"/>
      </w:pPr>
      <w:r>
        <w:rPr>
          <w:i/>
          <w:color w:val="6E7B91"/>
          <w:sz w:val="19"/>
        </w:rPr>
        <w:t>The best reception clusters at mid-to-high prices, never the cheapest</w:t>
      </w:r>
    </w:p>
    <w:p>
      <w:pPr>
        <w:pStyle w:val="Heading2"/>
      </w:pPr>
      <w:r>
        <w:rPr>
          <w:rFonts w:ascii="Cambria" w:hAnsi="Cambria"/>
          <w:color w:val="1E2761"/>
        </w:rPr>
        <w:t>Candidates with the best evidence for due diligence</w:t>
      </w:r>
    </w:p>
    <w:p>
      <w:r>
        <w:rPr>
          <w:b w:val="0"/>
          <w:i w:val="0"/>
          <w:color w:val="1A1A2E"/>
          <w:sz w:val="22"/>
        </w:rPr>
        <w:t>Of the 10 genres, three combine the best price effect, the largest volume of evidence, and the highest absolute reception: Adventure, Indie and Casual.</w:t>
      </w:r>
    </w:p>
    <w:p>
      <w:pPr>
        <w:jc w:val="center"/>
      </w:pPr>
      <w:r>
        <w:drawing>
          <wp:inline xmlns:a="http://schemas.openxmlformats.org/drawingml/2006/main" xmlns:pic="http://schemas.openxmlformats.org/drawingml/2006/picture">
            <wp:extent cx="5486400" cy="3935896"/>
            <wp:docPr id="3" name="Picture 3"/>
            <wp:cNvGraphicFramePr>
              <a:graphicFrameLocks noChangeAspect="1"/>
            </wp:cNvGraphicFramePr>
            <a:graphic>
              <a:graphicData uri="http://schemas.openxmlformats.org/drawingml/2006/picture">
                <pic:pic>
                  <pic:nvPicPr>
                    <pic:cNvPr id="0" name="03_ranking_efecto_candidatos.png"/>
                    <pic:cNvPicPr/>
                  </pic:nvPicPr>
                  <pic:blipFill>
                    <a:blip r:embed="rId11"/>
                    <a:stretch>
                      <a:fillRect/>
                    </a:stretch>
                  </pic:blipFill>
                  <pic:spPr>
                    <a:xfrm>
                      <a:off x="0" y="0"/>
                      <a:ext cx="5486400" cy="3935896"/>
                    </a:xfrm>
                    <a:prstGeom prst="rect"/>
                  </pic:spPr>
                </pic:pic>
              </a:graphicData>
            </a:graphic>
          </wp:inline>
        </w:drawing>
      </w:r>
    </w:p>
    <w:p>
      <w:pPr>
        <w:jc w:val="center"/>
      </w:pPr>
      <w:r>
        <w:rPr>
          <w:i/>
          <w:color w:val="6E7B91"/>
          <w:sz w:val="19"/>
        </w:rPr>
        <w:t>Adventure, Indie and Casual combine the best effect, volume and absolute reception</w:t>
      </w:r>
    </w:p>
    <w:p>
      <w:pPr>
        <w:pStyle w:val="ListBullet"/>
      </w:pPr>
      <w:r>
        <w:t>Adventure shows the largest reception jump between the cheapest band and its best band (+5 percentage points), with 4,030 games of evidence.</w:t>
      </w:r>
    </w:p>
    <w:p>
      <w:pPr>
        <w:pStyle w:val="ListBullet"/>
      </w:pPr>
      <w:r>
        <w:t>Indie is the genre with the most evidence volume (5,561 games) and a solid improvement (+3.9 points).</w:t>
      </w:r>
    </w:p>
    <w:p>
      <w:pPr>
        <w:pStyle w:val="ListBullet"/>
      </w:pPr>
      <w:r>
        <w:t>Casual has the highest absolute reception of the 10 genres in its best price band (89.6% positive reviews), though with lower volume (2,230 games).</w:t>
      </w:r>
    </w:p>
    <w:p>
      <w:r>
        <w:rPr>
          <w:b w:val="0"/>
          <w:i w:val="0"/>
          <w:color w:val="1A1A2E"/>
          <w:sz w:val="22"/>
        </w:rPr>
        <w:t>Massively Multiplayer is left off this list: it's the genre with the worst reception across all price bands and very little evidence (176 games) — not enough data to confidently recommend or rule it out.</w:t>
      </w:r>
    </w:p>
    <w:p>
      <w:pPr>
        <w:pStyle w:val="Heading2"/>
      </w:pPr>
      <w:r>
        <w:rPr>
          <w:rFonts w:ascii="Cambria" w:hAnsi="Cambria"/>
          <w:color w:val="1E2761"/>
        </w:rPr>
        <w:t>Is this just an effect of cheap games being older?</w:t>
      </w:r>
    </w:p>
    <w:p>
      <w:r>
        <w:rPr>
          <w:b w:val="0"/>
          <w:i w:val="0"/>
          <w:color w:val="1A1A2E"/>
          <w:sz w:val="22"/>
        </w:rPr>
        <w:t>In part. We repeated the analysis splitting recent games from older ones. Among older games, the cheapest band comes last in every genre with enough data. Among recent games it comes last only in Adventure, Indie and Casual — the same three genres we recommend — and in the rest the gap mostly closes.</w:t>
      </w:r>
    </w:p>
    <w:p>
      <w:pPr>
        <w:jc w:val="center"/>
      </w:pPr>
      <w:r>
        <w:drawing>
          <wp:inline xmlns:a="http://schemas.openxmlformats.org/drawingml/2006/main" xmlns:pic="http://schemas.openxmlformats.org/drawingml/2006/picture">
            <wp:extent cx="5486400" cy="3903785"/>
            <wp:docPr id="4" name="Picture 4"/>
            <wp:cNvGraphicFramePr>
              <a:graphicFrameLocks noChangeAspect="1"/>
            </wp:cNvGraphicFramePr>
            <a:graphic>
              <a:graphicData uri="http://schemas.openxmlformats.org/drawingml/2006/picture">
                <pic:pic>
                  <pic:nvPicPr>
                    <pic:cNvPr id="0" name="04_control_antiguedad.png"/>
                    <pic:cNvPicPr/>
                  </pic:nvPicPr>
                  <pic:blipFill>
                    <a:blip r:embed="rId12"/>
                    <a:stretch>
                      <a:fillRect/>
                    </a:stretch>
                  </pic:blipFill>
                  <pic:spPr>
                    <a:xfrm>
                      <a:off x="0" y="0"/>
                      <a:ext cx="5486400" cy="3903785"/>
                    </a:xfrm>
                    <a:prstGeom prst="rect"/>
                  </pic:spPr>
                </pic:pic>
              </a:graphicData>
            </a:graphic>
          </wp:inline>
        </w:drawing>
      </w:r>
    </w:p>
    <w:p>
      <w:pPr>
        <w:jc w:val="center"/>
      </w:pPr>
      <w:r>
        <w:rPr>
          <w:i/>
          <w:color w:val="6E7B91"/>
          <w:sz w:val="19"/>
        </w:rPr>
        <w:t>Among recent games, the cheapest band still trails only in Adventure, Indie and Casual</w:t>
      </w:r>
    </w:p>
    <w:p>
      <w:pPr>
        <w:pStyle w:val="Heading2"/>
      </w:pPr>
      <w:r>
        <w:rPr>
          <w:rFonts w:ascii="Cambria" w:hAnsi="Cambria"/>
          <w:color w:val="1E2761"/>
        </w:rPr>
        <w:t>What this analysis doesn't answer</w:t>
      </w:r>
    </w:p>
    <w:p>
      <w:pPr>
        <w:pStyle w:val="ListBullet"/>
      </w:pPr>
      <w:r>
        <w:t>It doesn't prove causality. The pattern shows an association between price and reception, not that raising a game's price automatically improves its reviews. It may reflect that studios who charge more also invest more in production quality.</w:t>
      </w:r>
    </w:p>
    <w:p>
      <w:pPr>
        <w:pStyle w:val="ListBullet"/>
      </w:pPr>
      <w:r>
        <w:t>It doesn't cover the "long tail." We deliberately excluded games with fewer than 500 reviews (34% of the catalogue has no reviews at all) to keep statistical reliability. That tail remains as pending additional analysis.</w:t>
      </w:r>
    </w:p>
    <w:p>
      <w:pPr>
        <w:pStyle w:val="ListBullet"/>
      </w:pPr>
      <w:r>
        <w:t>It doesn't measure reviews over time, only each game's historical cumulative total as of the data collection date.</w:t>
      </w:r>
    </w:p>
    <w:p>
      <w:pPr>
        <w:pStyle w:val="ListBullet"/>
      </w:pPr>
      <w:r>
        <w:t>This analysis prioritises genres; it doesn't allocate investment budget or replace studio-or-publisher-specific due diligence.</w:t>
      </w:r>
    </w:p>
    <w:p>
      <w:pPr>
        <w:pStyle w:val="Heading2"/>
      </w:pPr>
      <w:r>
        <w:rPr>
          <w:rFonts w:ascii="Cambria" w:hAnsi="Cambria"/>
          <w:color w:val="1E2761"/>
        </w:rPr>
        <w:t>Next step</w:t>
      </w:r>
    </w:p>
    <w:p>
      <w:r>
        <w:rPr>
          <w:b w:val="0"/>
          <w:i w:val="0"/>
          <w:color w:val="1A1A2E"/>
          <w:sz w:val="22"/>
        </w:rPr>
        <w:t>The formal recommendations phase (Phase 6 of the case) will translate this evidence into a concrete prioritisation proposal, with its limitations and the additional data recommended before committing capital.</w:t>
      </w:r>
    </w:p>
    <w:p/>
    <w:p>
      <w:r>
        <w:rPr>
          <w:b w:val="0"/>
          <w:i/>
          <w:color w:val="6E7B91"/>
          <w:sz w:val="19"/>
        </w:rPr>
        <w:t>Source: Steam Games Dataset (fronkongames, Kaggle, CC BY 4.0 licence) and the CPI-U consumer price index (US Bureau of Labor Statistics). Portfolio case study built with Python/pandas; full methodology and checks available in the technical notebook notebooks/caso_steam_precio_recepcion.ipynb.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