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62" w:rsidRPr="00B17D62" w:rsidRDefault="00B17D62">
      <w:pPr>
        <w:rPr>
          <w:rFonts w:hint="eastAsia"/>
          <w:sz w:val="24"/>
          <w:u w:val="single"/>
        </w:rPr>
      </w:pPr>
      <w:r w:rsidRPr="00B17D62">
        <w:rPr>
          <w:rFonts w:hint="eastAsia"/>
          <w:sz w:val="24"/>
          <w:u w:val="single"/>
        </w:rPr>
        <w:t>Training:</w:t>
      </w:r>
    </w:p>
    <w:p w:rsidR="002C618F" w:rsidRDefault="002C618F">
      <w:pPr>
        <w:rPr>
          <w:rFonts w:hint="eastAsia"/>
          <w:sz w:val="20"/>
        </w:rPr>
      </w:pPr>
      <w:r w:rsidRPr="00B17D62">
        <w:rPr>
          <w:rFonts w:hint="eastAsia"/>
          <w:sz w:val="20"/>
        </w:rPr>
        <w:t xml:space="preserve">As table 1 </w:t>
      </w:r>
      <w:r w:rsidR="00241C16">
        <w:rPr>
          <w:rFonts w:hint="eastAsia"/>
          <w:sz w:val="20"/>
        </w:rPr>
        <w:t xml:space="preserve">and figure 1 </w:t>
      </w:r>
      <w:r w:rsidRPr="00B17D62">
        <w:rPr>
          <w:rFonts w:hint="eastAsia"/>
          <w:sz w:val="20"/>
        </w:rPr>
        <w:t xml:space="preserve">below show, when </w:t>
      </w:r>
      <w:r w:rsidRPr="00B17D62">
        <w:rPr>
          <w:sz w:val="20"/>
        </w:rPr>
        <w:t>running</w:t>
      </w:r>
      <w:r w:rsidRPr="00B17D62">
        <w:rPr>
          <w:rFonts w:hint="eastAsia"/>
          <w:sz w:val="20"/>
        </w:rPr>
        <w:t xml:space="preserve"> 16 epoch using </w:t>
      </w:r>
      <w:proofErr w:type="spellStart"/>
      <w:r w:rsidRPr="00B17D62">
        <w:rPr>
          <w:sz w:val="20"/>
        </w:rPr>
        <w:t>Keras</w:t>
      </w:r>
      <w:proofErr w:type="spellEnd"/>
      <w:r w:rsidRPr="00B17D62">
        <w:rPr>
          <w:sz w:val="20"/>
        </w:rPr>
        <w:t xml:space="preserve"> Conv2D</w:t>
      </w:r>
      <w:r w:rsidRPr="00B17D62">
        <w:rPr>
          <w:rFonts w:hint="eastAsia"/>
          <w:sz w:val="20"/>
        </w:rPr>
        <w:t xml:space="preserve">, we can reach the accuracy of </w:t>
      </w:r>
      <w:r w:rsidR="00B17D62" w:rsidRPr="00B17D62">
        <w:rPr>
          <w:rFonts w:hint="eastAsia"/>
          <w:sz w:val="20"/>
        </w:rPr>
        <w:t>validation</w:t>
      </w:r>
      <w:r w:rsidRPr="00B17D62">
        <w:rPr>
          <w:rFonts w:hint="eastAsia"/>
          <w:sz w:val="20"/>
        </w:rPr>
        <w:t xml:space="preserve"> as high as 0.96, which is </w:t>
      </w:r>
      <w:r w:rsidR="00B17D62" w:rsidRPr="00B17D62">
        <w:rPr>
          <w:rFonts w:hint="eastAsia"/>
          <w:sz w:val="20"/>
        </w:rPr>
        <w:t xml:space="preserve">applicable for a daily-life classification program. However, if the program is going to be applied for classification factorials, higher accuracy is required. </w:t>
      </w:r>
      <w:r w:rsidR="00241C16">
        <w:rPr>
          <w:rFonts w:hint="eastAsia"/>
          <w:sz w:val="20"/>
        </w:rPr>
        <w:t xml:space="preserve">The trend of increasing accuracy and </w:t>
      </w:r>
      <w:r w:rsidR="00241C16">
        <w:rPr>
          <w:sz w:val="20"/>
        </w:rPr>
        <w:t>decreasing</w:t>
      </w:r>
      <w:r w:rsidR="00241C16">
        <w:rPr>
          <w:rFonts w:hint="eastAsia"/>
          <w:sz w:val="20"/>
        </w:rPr>
        <w:t xml:space="preserve"> loss show no sign of reaching limitation. T</w:t>
      </w:r>
      <w:r w:rsidR="00B17D62" w:rsidRPr="00B17D62">
        <w:rPr>
          <w:rFonts w:hint="eastAsia"/>
          <w:sz w:val="20"/>
        </w:rPr>
        <w:t xml:space="preserve">o </w:t>
      </w:r>
      <w:r w:rsidR="00B17D62" w:rsidRPr="00B17D62">
        <w:rPr>
          <w:sz w:val="20"/>
        </w:rPr>
        <w:t>improve</w:t>
      </w:r>
      <w:r w:rsidR="00B17D62" w:rsidRPr="00B17D62">
        <w:rPr>
          <w:rFonts w:hint="eastAsia"/>
          <w:sz w:val="20"/>
        </w:rPr>
        <w:t xml:space="preserve"> the accuracy, simply run more </w:t>
      </w:r>
      <w:r w:rsidR="00241C16" w:rsidRPr="00B17D62">
        <w:rPr>
          <w:sz w:val="20"/>
        </w:rPr>
        <w:t>epoch</w:t>
      </w:r>
      <w:r w:rsidR="00241C16">
        <w:rPr>
          <w:sz w:val="20"/>
        </w:rPr>
        <w:t>s</w:t>
      </w:r>
      <w:r w:rsidR="00B17D62" w:rsidRPr="00B17D62">
        <w:rPr>
          <w:rFonts w:hint="eastAsia"/>
          <w:sz w:val="20"/>
        </w:rPr>
        <w:t xml:space="preserve">. Luckily, for the training data of thousands level, the run time for one epoch is acceptable. Also, in order to be </w:t>
      </w:r>
      <w:r w:rsidR="00B17D62" w:rsidRPr="00B17D62">
        <w:rPr>
          <w:sz w:val="20"/>
        </w:rPr>
        <w:t>applicable</w:t>
      </w:r>
      <w:r w:rsidR="00B17D62" w:rsidRPr="00B17D62">
        <w:rPr>
          <w:rFonts w:hint="eastAsia"/>
          <w:sz w:val="20"/>
        </w:rPr>
        <w:t xml:space="preserve"> for wider range of categories, and </w:t>
      </w:r>
      <w:r w:rsidR="00B17D62" w:rsidRPr="00B17D62">
        <w:rPr>
          <w:sz w:val="20"/>
        </w:rPr>
        <w:t>more</w:t>
      </w:r>
      <w:r w:rsidR="00B17D62" w:rsidRPr="00B17D62">
        <w:rPr>
          <w:rFonts w:hint="eastAsia"/>
          <w:sz w:val="20"/>
        </w:rPr>
        <w:t xml:space="preserve"> image conditions </w:t>
      </w:r>
      <w:r w:rsidR="00B17D62" w:rsidRPr="00B17D62">
        <w:rPr>
          <w:sz w:val="20"/>
        </w:rPr>
        <w:t>like</w:t>
      </w:r>
      <w:r w:rsidR="00B17D62" w:rsidRPr="00B17D62">
        <w:rPr>
          <w:rFonts w:hint="eastAsia"/>
          <w:sz w:val="20"/>
        </w:rPr>
        <w:t xml:space="preserve"> not well focused, or more noisy images, larger dataset with those problematic images can be added to the training data, so the </w:t>
      </w:r>
      <w:r w:rsidR="00B17D62" w:rsidRPr="00B17D62">
        <w:rPr>
          <w:sz w:val="20"/>
        </w:rPr>
        <w:t>program</w:t>
      </w:r>
      <w:r w:rsidR="00B17D62" w:rsidRPr="00B17D62">
        <w:rPr>
          <w:rFonts w:hint="eastAsia"/>
          <w:sz w:val="20"/>
        </w:rPr>
        <w:t xml:space="preserve"> can be more applicable in various environment.</w:t>
      </w:r>
    </w:p>
    <w:p w:rsidR="003502CC" w:rsidRPr="00B17D62" w:rsidRDefault="003502CC">
      <w:pPr>
        <w:rPr>
          <w:rFonts w:hint="eastAsia"/>
          <w:sz w:val="20"/>
        </w:rPr>
      </w:pPr>
    </w:p>
    <w:tbl>
      <w:tblPr>
        <w:tblStyle w:val="a3"/>
        <w:tblW w:w="8161" w:type="dxa"/>
        <w:jc w:val="center"/>
        <w:tblInd w:w="9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1434"/>
        <w:gridCol w:w="1455"/>
        <w:gridCol w:w="1455"/>
        <w:gridCol w:w="1396"/>
        <w:gridCol w:w="1396"/>
      </w:tblGrid>
      <w:tr w:rsidR="00241C16" w:rsidTr="00241C16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2C618F">
            <w:pPr>
              <w:jc w:val="center"/>
            </w:pPr>
            <w:r w:rsidRPr="00241C16">
              <w:t>E</w:t>
            </w:r>
            <w:r w:rsidRPr="00241C16">
              <w:rPr>
                <w:rFonts w:hint="eastAsia"/>
              </w:rPr>
              <w:t>poch num.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2C618F">
            <w:pPr>
              <w:jc w:val="center"/>
            </w:pPr>
            <w:r w:rsidRPr="00241C16">
              <w:t>R</w:t>
            </w:r>
            <w:r w:rsidRPr="00241C16">
              <w:rPr>
                <w:rFonts w:hint="eastAsia"/>
              </w:rPr>
              <w:t>untime(sec)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1079B6">
            <w:pPr>
              <w:jc w:val="center"/>
            </w:pPr>
            <w:r w:rsidRPr="00241C16">
              <w:rPr>
                <w:rFonts w:hint="eastAsia"/>
              </w:rPr>
              <w:t>Training</w:t>
            </w:r>
            <w:r w:rsidRPr="00241C16">
              <w:rPr>
                <w:rFonts w:hint="eastAsia"/>
              </w:rPr>
              <w:t xml:space="preserve"> accuracy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2C618F">
            <w:pPr>
              <w:jc w:val="center"/>
            </w:pPr>
            <w:r w:rsidRPr="00241C16">
              <w:t>Validation</w:t>
            </w:r>
            <w:r w:rsidRPr="00241C16">
              <w:rPr>
                <w:rFonts w:hint="eastAsia"/>
              </w:rPr>
              <w:t xml:space="preserve"> accuracy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1079B6">
            <w:pPr>
              <w:jc w:val="center"/>
            </w:pPr>
            <w:r w:rsidRPr="00241C16">
              <w:rPr>
                <w:rFonts w:hint="eastAsia"/>
              </w:rPr>
              <w:t>Training</w:t>
            </w:r>
            <w:r w:rsidRPr="00241C16">
              <w:rPr>
                <w:rFonts w:hint="eastAsia"/>
              </w:rPr>
              <w:t xml:space="preserve"> loss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:rsidR="00241C16" w:rsidRPr="00241C16" w:rsidRDefault="00241C16" w:rsidP="002C618F">
            <w:pPr>
              <w:jc w:val="center"/>
            </w:pPr>
            <w:r w:rsidRPr="00241C16">
              <w:t>V</w:t>
            </w:r>
            <w:r w:rsidRPr="00241C16">
              <w:rPr>
                <w:rFonts w:hint="eastAsia"/>
              </w:rPr>
              <w:t>alidation loss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40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0.7534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0.8000</w:t>
            </w:r>
          </w:p>
        </w:tc>
        <w:tc>
          <w:tcPr>
            <w:tcW w:w="1396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0.5235</w:t>
            </w:r>
          </w:p>
        </w:tc>
        <w:tc>
          <w:tcPr>
            <w:tcW w:w="1396" w:type="dxa"/>
            <w:tcBorders>
              <w:top w:val="single" w:sz="4" w:space="0" w:color="auto"/>
              <w:bottom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0.4654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  <w:tcBorders>
              <w:top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2</w:t>
            </w:r>
          </w:p>
        </w:tc>
        <w:tc>
          <w:tcPr>
            <w:tcW w:w="1434" w:type="dxa"/>
            <w:tcBorders>
              <w:top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38</w:t>
            </w:r>
          </w:p>
        </w:tc>
        <w:tc>
          <w:tcPr>
            <w:tcW w:w="1455" w:type="dxa"/>
            <w:tcBorders>
              <w:top w:val="nil"/>
            </w:tcBorders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0.8155</w:t>
            </w:r>
          </w:p>
        </w:tc>
        <w:tc>
          <w:tcPr>
            <w:tcW w:w="1455" w:type="dxa"/>
            <w:tcBorders>
              <w:top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0.8261</w:t>
            </w:r>
          </w:p>
        </w:tc>
        <w:tc>
          <w:tcPr>
            <w:tcW w:w="1396" w:type="dxa"/>
            <w:tcBorders>
              <w:top w:val="nil"/>
            </w:tcBorders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0.4367</w:t>
            </w:r>
          </w:p>
        </w:tc>
        <w:tc>
          <w:tcPr>
            <w:tcW w:w="1396" w:type="dxa"/>
            <w:tcBorders>
              <w:top w:val="nil"/>
            </w:tcBorders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0.4289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40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0.8310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0.8450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0.4092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0.3834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41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0.8389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0.8652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0.3700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0.3219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5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42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0.8500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0.8650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0.3514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0.3335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6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41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0.8614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0.8913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0.3246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0.2556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7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41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0.8734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0.8830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0.2983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0.2883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8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39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0.8761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0.8957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0.2993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0.2779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9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39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0.8929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0.8960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0.2591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0.2573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10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37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0.9022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0.9261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0.2425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0.2242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11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38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0.9042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0.9220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0.2292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0.2079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12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36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0.9175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0.9217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0.2096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0.1821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13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35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0.9201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0.9210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0.1971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0.2209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14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37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0.9291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0.9130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0.1826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0.2013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15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38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0.9388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0.9470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0.1665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0.1429</w:t>
            </w:r>
          </w:p>
        </w:tc>
      </w:tr>
      <w:tr w:rsidR="00241C16" w:rsidTr="00241C16">
        <w:trPr>
          <w:jc w:val="center"/>
        </w:trPr>
        <w:tc>
          <w:tcPr>
            <w:tcW w:w="1025" w:type="dxa"/>
          </w:tcPr>
          <w:p w:rsidR="00241C16" w:rsidRPr="002C618F" w:rsidRDefault="00241C16" w:rsidP="002C618F">
            <w:pPr>
              <w:jc w:val="center"/>
              <w:rPr>
                <w:rFonts w:hint="eastAsia"/>
                <w:sz w:val="18"/>
              </w:rPr>
            </w:pPr>
            <w:r w:rsidRPr="002C618F">
              <w:rPr>
                <w:rFonts w:hint="eastAsia"/>
                <w:sz w:val="18"/>
              </w:rPr>
              <w:t>16</w:t>
            </w:r>
          </w:p>
        </w:tc>
        <w:tc>
          <w:tcPr>
            <w:tcW w:w="1434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37</w:t>
            </w:r>
          </w:p>
        </w:tc>
        <w:tc>
          <w:tcPr>
            <w:tcW w:w="1455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0.9449</w:t>
            </w:r>
          </w:p>
        </w:tc>
        <w:tc>
          <w:tcPr>
            <w:tcW w:w="1455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0.9609</w:t>
            </w:r>
          </w:p>
        </w:tc>
        <w:tc>
          <w:tcPr>
            <w:tcW w:w="1396" w:type="dxa"/>
          </w:tcPr>
          <w:p w:rsidR="00241C16" w:rsidRPr="002C618F" w:rsidRDefault="00241C16" w:rsidP="001079B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0.1502</w:t>
            </w:r>
          </w:p>
        </w:tc>
        <w:tc>
          <w:tcPr>
            <w:tcW w:w="1396" w:type="dxa"/>
          </w:tcPr>
          <w:p w:rsidR="00241C16" w:rsidRPr="002C618F" w:rsidRDefault="00241C16" w:rsidP="002C618F">
            <w:pPr>
              <w:jc w:val="center"/>
              <w:rPr>
                <w:sz w:val="18"/>
              </w:rPr>
            </w:pPr>
            <w:r w:rsidRPr="002C618F">
              <w:rPr>
                <w:rFonts w:hint="eastAsia"/>
                <w:sz w:val="18"/>
              </w:rPr>
              <w:t>0.1234</w:t>
            </w:r>
          </w:p>
        </w:tc>
      </w:tr>
    </w:tbl>
    <w:p w:rsidR="00B44D1A" w:rsidRDefault="002C618F" w:rsidP="002C618F">
      <w:pPr>
        <w:jc w:val="center"/>
        <w:rPr>
          <w:rFonts w:hint="eastAsia"/>
        </w:rPr>
      </w:pPr>
      <w:r w:rsidRPr="00241C16">
        <w:rPr>
          <w:rFonts w:hint="eastAsia"/>
          <w:b/>
        </w:rPr>
        <w:t>Table 1</w:t>
      </w:r>
      <w:r w:rsidR="00241C16">
        <w:rPr>
          <w:rFonts w:hint="eastAsia"/>
          <w:b/>
        </w:rPr>
        <w:t>,</w:t>
      </w:r>
      <w:r>
        <w:rPr>
          <w:rFonts w:hint="eastAsia"/>
        </w:rPr>
        <w:t xml:space="preserve"> Result of running 16 </w:t>
      </w:r>
      <w:proofErr w:type="gramStart"/>
      <w:r>
        <w:rPr>
          <w:rFonts w:hint="eastAsia"/>
        </w:rPr>
        <w:t>epoch</w:t>
      </w:r>
      <w:proofErr w:type="gramEnd"/>
      <w:r>
        <w:rPr>
          <w:rFonts w:hint="eastAsia"/>
        </w:rPr>
        <w:t>.</w:t>
      </w:r>
    </w:p>
    <w:p w:rsidR="00B17D62" w:rsidRDefault="00241C16" w:rsidP="00241C1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8A08D" wp14:editId="29D96704">
            <wp:extent cx="4762124" cy="3308684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324" cy="33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16" w:rsidRDefault="00241C16" w:rsidP="00241C16">
      <w:pPr>
        <w:jc w:val="center"/>
        <w:rPr>
          <w:rFonts w:hint="eastAsia"/>
        </w:rPr>
      </w:pPr>
      <w:r w:rsidRPr="00241C16">
        <w:rPr>
          <w:rFonts w:hint="eastAsia"/>
          <w:b/>
        </w:rPr>
        <w:t>Figure 1</w:t>
      </w:r>
      <w:r>
        <w:rPr>
          <w:rFonts w:hint="eastAsia"/>
        </w:rPr>
        <w:t>, Accuracy and loss for training and validation process.</w:t>
      </w:r>
    </w:p>
    <w:p w:rsidR="003502CC" w:rsidRDefault="003502CC" w:rsidP="00B17D62">
      <w:pPr>
        <w:rPr>
          <w:rFonts w:hint="eastAsia"/>
          <w:sz w:val="24"/>
          <w:u w:val="single"/>
        </w:rPr>
      </w:pPr>
    </w:p>
    <w:p w:rsidR="00B17D62" w:rsidRDefault="00B17D62" w:rsidP="00B17D62">
      <w:pPr>
        <w:rPr>
          <w:rFonts w:hint="eastAsia"/>
          <w:sz w:val="24"/>
          <w:u w:val="single"/>
        </w:rPr>
      </w:pPr>
      <w:r w:rsidRPr="00B17D62">
        <w:rPr>
          <w:rFonts w:hint="eastAsia"/>
          <w:sz w:val="24"/>
          <w:u w:val="single"/>
        </w:rPr>
        <w:t>Prediction</w:t>
      </w:r>
    </w:p>
    <w:p w:rsidR="00241C16" w:rsidRPr="00653A0E" w:rsidRDefault="00241C16" w:rsidP="00B17D62">
      <w:pPr>
        <w:rPr>
          <w:rFonts w:hint="eastAsia"/>
          <w:sz w:val="20"/>
        </w:rPr>
      </w:pPr>
      <w:r w:rsidRPr="00241C16">
        <w:rPr>
          <w:rFonts w:hint="eastAsia"/>
          <w:sz w:val="20"/>
        </w:rPr>
        <w:t xml:space="preserve">The prediction </w:t>
      </w:r>
      <w:r w:rsidRPr="00241C16">
        <w:rPr>
          <w:sz w:val="20"/>
        </w:rPr>
        <w:t>process</w:t>
      </w:r>
      <w:r w:rsidRPr="00241C16">
        <w:rPr>
          <w:rFonts w:hint="eastAsia"/>
          <w:sz w:val="20"/>
        </w:rPr>
        <w:t xml:space="preserve"> for a single photo takes ignorable time, </w:t>
      </w:r>
      <w:r>
        <w:rPr>
          <w:rFonts w:hint="eastAsia"/>
          <w:sz w:val="20"/>
        </w:rPr>
        <w:t xml:space="preserve">which also shows the success of the program. The photo taken, even with noisy background as the figure shows below, the </w:t>
      </w:r>
      <w:r w:rsidR="00653A0E">
        <w:rPr>
          <w:rFonts w:hint="eastAsia"/>
          <w:sz w:val="20"/>
        </w:rPr>
        <w:t xml:space="preserve">model is still able to predict the category of the waste correctly. The figure below is an example of predicting </w:t>
      </w:r>
      <w:proofErr w:type="spellStart"/>
      <w:proofErr w:type="gramStart"/>
      <w:r w:rsidR="00653A0E">
        <w:rPr>
          <w:rFonts w:hint="eastAsia"/>
          <w:sz w:val="20"/>
        </w:rPr>
        <w:t>a</w:t>
      </w:r>
      <w:proofErr w:type="spellEnd"/>
      <w:proofErr w:type="gramEnd"/>
      <w:r w:rsidR="00653A0E">
        <w:rPr>
          <w:rFonts w:hint="eastAsia"/>
          <w:sz w:val="20"/>
        </w:rPr>
        <w:t xml:space="preserve"> image of plastic bottle which is photographed in a noisy background. The program take a photo either from local file, or from camera, and when the </w:t>
      </w:r>
      <w:r w:rsidR="00653A0E" w:rsidRPr="00653A0E">
        <w:rPr>
          <w:rFonts w:hint="eastAsia"/>
          <w:i/>
          <w:sz w:val="20"/>
        </w:rPr>
        <w:t>classify</w:t>
      </w:r>
      <w:r w:rsidR="00653A0E">
        <w:rPr>
          <w:rFonts w:hint="eastAsia"/>
          <w:i/>
          <w:sz w:val="20"/>
        </w:rPr>
        <w:t xml:space="preserve"> </w:t>
      </w:r>
      <w:r w:rsidR="00653A0E">
        <w:rPr>
          <w:rFonts w:hint="eastAsia"/>
          <w:sz w:val="20"/>
        </w:rPr>
        <w:t xml:space="preserve">button is </w:t>
      </w:r>
      <w:r w:rsidR="00653A0E">
        <w:rPr>
          <w:sz w:val="20"/>
        </w:rPr>
        <w:t>pressed;</w:t>
      </w:r>
      <w:r w:rsidR="00653A0E">
        <w:rPr>
          <w:rFonts w:hint="eastAsia"/>
          <w:sz w:val="20"/>
        </w:rPr>
        <w:t xml:space="preserve"> the image will be labeled by the program as follow. Unfortunately </w:t>
      </w:r>
      <w:r w:rsidR="003502CC">
        <w:rPr>
          <w:rFonts w:hint="eastAsia"/>
          <w:sz w:val="20"/>
        </w:rPr>
        <w:t xml:space="preserve">we do not able to implement multiple object identification and we did not have trained for non-waste </w:t>
      </w:r>
      <w:r w:rsidR="003502CC">
        <w:rPr>
          <w:sz w:val="20"/>
        </w:rPr>
        <w:t>category</w:t>
      </w:r>
      <w:r w:rsidR="003502CC">
        <w:rPr>
          <w:rFonts w:hint="eastAsia"/>
          <w:sz w:val="20"/>
        </w:rPr>
        <w:t xml:space="preserve">, so </w:t>
      </w:r>
      <w:r w:rsidR="00653A0E">
        <w:rPr>
          <w:rFonts w:hint="eastAsia"/>
          <w:sz w:val="20"/>
        </w:rPr>
        <w:t xml:space="preserve">if multiple wastes are in the image, or no waste in the image, the program cannot identify </w:t>
      </w:r>
      <w:r w:rsidR="00653A0E">
        <w:rPr>
          <w:sz w:val="20"/>
        </w:rPr>
        <w:t>those situations</w:t>
      </w:r>
      <w:r w:rsidR="00653A0E">
        <w:rPr>
          <w:rFonts w:hint="eastAsia"/>
          <w:sz w:val="20"/>
        </w:rPr>
        <w:t xml:space="preserve"> and will label the image to the </w:t>
      </w:r>
      <w:r w:rsidR="003502CC">
        <w:rPr>
          <w:rFonts w:hint="eastAsia"/>
          <w:sz w:val="20"/>
        </w:rPr>
        <w:t>most likely</w:t>
      </w:r>
      <w:r w:rsidR="00653A0E">
        <w:rPr>
          <w:rFonts w:hint="eastAsia"/>
          <w:sz w:val="20"/>
        </w:rPr>
        <w:t xml:space="preserve"> </w:t>
      </w:r>
      <w:r w:rsidR="00653A0E">
        <w:rPr>
          <w:sz w:val="20"/>
        </w:rPr>
        <w:t>category</w:t>
      </w:r>
      <w:r w:rsidR="00653A0E">
        <w:rPr>
          <w:rFonts w:hint="eastAsia"/>
          <w:sz w:val="20"/>
        </w:rPr>
        <w:t xml:space="preserve"> according to the model, which will be an incorrect result.</w:t>
      </w:r>
    </w:p>
    <w:p w:rsidR="00B17D62" w:rsidRDefault="003502CC" w:rsidP="00241C16">
      <w:pPr>
        <w:jc w:val="center"/>
        <w:rPr>
          <w:rFonts w:hint="eastAsia"/>
          <w:sz w:val="20"/>
        </w:rPr>
      </w:pPr>
      <w:r>
        <w:rPr>
          <w:noProof/>
        </w:rPr>
        <w:lastRenderedPageBreak/>
        <w:drawing>
          <wp:inline distT="0" distB="0" distL="0" distR="0">
            <wp:extent cx="5265420" cy="40938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CC" w:rsidRDefault="00241C16" w:rsidP="003502CC">
      <w:pPr>
        <w:jc w:val="center"/>
        <w:rPr>
          <w:rFonts w:hint="eastAsia"/>
          <w:sz w:val="20"/>
        </w:rPr>
      </w:pPr>
      <w:r w:rsidRPr="00241C16">
        <w:rPr>
          <w:rFonts w:hint="eastAsia"/>
          <w:b/>
          <w:sz w:val="20"/>
        </w:rPr>
        <w:t>Figure 2,</w:t>
      </w:r>
      <w:r>
        <w:rPr>
          <w:rFonts w:hint="eastAsia"/>
          <w:sz w:val="20"/>
        </w:rPr>
        <w:t xml:space="preserve"> Sample output of the program.</w:t>
      </w:r>
    </w:p>
    <w:p w:rsidR="003502CC" w:rsidRDefault="003502CC" w:rsidP="003502CC">
      <w:pPr>
        <w:rPr>
          <w:rFonts w:hint="eastAsia"/>
          <w:sz w:val="20"/>
        </w:rPr>
      </w:pPr>
    </w:p>
    <w:p w:rsidR="003502CC" w:rsidRPr="001101F6" w:rsidRDefault="003502CC" w:rsidP="003502CC">
      <w:pPr>
        <w:rPr>
          <w:rFonts w:hint="eastAsia"/>
          <w:sz w:val="24"/>
          <w:u w:val="single"/>
        </w:rPr>
      </w:pPr>
      <w:r w:rsidRPr="001101F6">
        <w:rPr>
          <w:rFonts w:hint="eastAsia"/>
          <w:sz w:val="24"/>
          <w:u w:val="single"/>
        </w:rPr>
        <w:t>User interface:</w:t>
      </w:r>
    </w:p>
    <w:p w:rsidR="003502CC" w:rsidRPr="00B17D62" w:rsidRDefault="003502CC" w:rsidP="003502CC">
      <w:pPr>
        <w:rPr>
          <w:sz w:val="20"/>
        </w:rPr>
      </w:pPr>
      <w:r>
        <w:rPr>
          <w:rFonts w:hint="eastAsia"/>
          <w:sz w:val="20"/>
        </w:rPr>
        <w:t xml:space="preserve">The interface is implemented by pyqt5. The interface enables 3 ways of input: open local file, take a picture and use live streaming of computer camera. </w:t>
      </w:r>
      <w:r w:rsidRPr="001101F6">
        <w:rPr>
          <w:rFonts w:hint="eastAsia"/>
          <w:i/>
          <w:sz w:val="20"/>
        </w:rPr>
        <w:t>Classify</w:t>
      </w:r>
      <w:r>
        <w:rPr>
          <w:rFonts w:hint="eastAsia"/>
          <w:sz w:val="20"/>
        </w:rPr>
        <w:t xml:space="preserve"> button should be pressed if user want to </w:t>
      </w:r>
      <w:r>
        <w:rPr>
          <w:sz w:val="20"/>
        </w:rPr>
        <w:t>have</w:t>
      </w:r>
      <w:r>
        <w:rPr>
          <w:rFonts w:hint="eastAsia"/>
          <w:sz w:val="20"/>
        </w:rPr>
        <w:t xml:space="preserve"> the loaded image be classified</w:t>
      </w:r>
      <w:r w:rsidR="001101F6">
        <w:rPr>
          <w:rFonts w:hint="eastAsia"/>
          <w:sz w:val="20"/>
        </w:rPr>
        <w:t xml:space="preserve"> </w:t>
      </w:r>
      <w:r w:rsidR="001101F6">
        <w:rPr>
          <w:sz w:val="20"/>
        </w:rPr>
        <w:t>and</w:t>
      </w:r>
      <w:r w:rsidR="001101F6">
        <w:rPr>
          <w:rFonts w:hint="eastAsia"/>
          <w:sz w:val="20"/>
        </w:rPr>
        <w:t xml:space="preserve"> labeled</w:t>
      </w:r>
      <w:r>
        <w:rPr>
          <w:rFonts w:hint="eastAsia"/>
          <w:sz w:val="20"/>
        </w:rPr>
        <w:t>.</w:t>
      </w:r>
      <w:r w:rsidR="001101F6">
        <w:rPr>
          <w:rFonts w:hint="eastAsia"/>
          <w:sz w:val="20"/>
        </w:rPr>
        <w:t xml:space="preserve"> The interface is shown in figure 2. </w:t>
      </w:r>
      <w:r w:rsidR="001101F6">
        <w:rPr>
          <w:sz w:val="20"/>
        </w:rPr>
        <w:t>The</w:t>
      </w:r>
      <w:r w:rsidR="001101F6">
        <w:rPr>
          <w:rFonts w:hint="eastAsia"/>
          <w:sz w:val="20"/>
        </w:rPr>
        <w:t xml:space="preserve"> live function is still in progress, since we do not have a good algorithm detecting multiple objects and no waste, the real-time classification will produce a lot of incorrect result.</w:t>
      </w:r>
      <w:r>
        <w:rPr>
          <w:rFonts w:hint="eastAsia"/>
          <w:sz w:val="20"/>
        </w:rPr>
        <w:t xml:space="preserve"> </w:t>
      </w:r>
      <w:r w:rsidR="001101F6">
        <w:rPr>
          <w:rFonts w:hint="eastAsia"/>
          <w:sz w:val="20"/>
        </w:rPr>
        <w:t xml:space="preserve">The ideal interface will not have </w:t>
      </w:r>
      <w:proofErr w:type="gramStart"/>
      <w:r w:rsidR="001101F6" w:rsidRPr="001101F6">
        <w:rPr>
          <w:rFonts w:hint="eastAsia"/>
          <w:i/>
          <w:sz w:val="20"/>
        </w:rPr>
        <w:t>classify</w:t>
      </w:r>
      <w:proofErr w:type="gramEnd"/>
      <w:r w:rsidR="001101F6">
        <w:rPr>
          <w:rFonts w:hint="eastAsia"/>
          <w:sz w:val="20"/>
        </w:rPr>
        <w:t xml:space="preserve"> button but label the image once it is loaded. </w:t>
      </w:r>
      <w:r w:rsidR="001101F6">
        <w:rPr>
          <w:sz w:val="20"/>
        </w:rPr>
        <w:t>A</w:t>
      </w:r>
      <w:r w:rsidR="001101F6">
        <w:rPr>
          <w:rFonts w:hint="eastAsia"/>
          <w:sz w:val="20"/>
        </w:rPr>
        <w:t>nd the program should be able to run in smartphones and tablets. Those func</w:t>
      </w:r>
      <w:bookmarkStart w:id="0" w:name="_GoBack"/>
      <w:bookmarkEnd w:id="0"/>
      <w:r w:rsidR="001101F6">
        <w:rPr>
          <w:rFonts w:hint="eastAsia"/>
          <w:sz w:val="20"/>
        </w:rPr>
        <w:t xml:space="preserve">tions can be implemented if </w:t>
      </w:r>
      <w:proofErr w:type="gramStart"/>
      <w:r w:rsidR="001101F6">
        <w:rPr>
          <w:rFonts w:hint="eastAsia"/>
          <w:sz w:val="20"/>
        </w:rPr>
        <w:t>time get</w:t>
      </w:r>
      <w:proofErr w:type="gramEnd"/>
      <w:r w:rsidR="001101F6">
        <w:rPr>
          <w:rFonts w:hint="eastAsia"/>
          <w:sz w:val="20"/>
        </w:rPr>
        <w:t xml:space="preserve"> prolonged.</w:t>
      </w:r>
    </w:p>
    <w:sectPr w:rsidR="003502CC" w:rsidRPr="00B1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8F"/>
    <w:rsid w:val="001101F6"/>
    <w:rsid w:val="00241C16"/>
    <w:rsid w:val="002C618F"/>
    <w:rsid w:val="003502CC"/>
    <w:rsid w:val="00653A0E"/>
    <w:rsid w:val="00B17D62"/>
    <w:rsid w:val="00B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7D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7D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7D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7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478</Words>
  <Characters>2726</Characters>
  <Application>Microsoft Office Word</Application>
  <DocSecurity>0</DocSecurity>
  <Lines>22</Lines>
  <Paragraphs>6</Paragraphs>
  <ScaleCrop>false</ScaleCrop>
  <Company>Microsoft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2019-12-18T18:38:00Z</dcterms:created>
  <dcterms:modified xsi:type="dcterms:W3CDTF">2019-12-18T19:44:00Z</dcterms:modified>
</cp:coreProperties>
</file>