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CAN Node Spec v0.1</w:t>
      </w:r>
    </w:p>
    <w:p>
      <w:pPr>
        <w:spacing w:after="160"/>
      </w:pPr>
      <w:r>
        <w:rPr>
          <w:rFonts w:ascii="Arial" w:cs="Arial" w:eastAsia="Arial" w:hAnsi="Arial"/>
          <w:color w:val="555555"/>
          <w:sz w:val="20"/>
          <w:szCs w:val="20"/>
        </w:rPr>
        <w:t xml:space="preserve">Bobcat Baja DAQ. What every node sends on the CAN bus and how it connects. Bus and messages frozen at v0 (Oct 19, 2026); v0.1 adds node hardware. Owner: Toph Jones. Changes to existing IDs or signals are agreed at the Monday meeting first. Machine-readable version: dbc/baja_daq.dbc in Bobcat-BAJA/can-spec.</w:t>
      </w:r>
    </w:p>
    <w:p>
      <w:pPr>
        <w:pStyle w:val="Heading1"/>
        <w:spacing w:after="100" w:before="240"/>
      </w:pPr>
      <w:r>
        <w:rPr>
          <w:rFonts w:ascii="Arial" w:cs="Arial" w:eastAsia="Arial" w:hAnsi="Arial"/>
          <w:b/>
          <w:bCs/>
          <w:sz w:val="26"/>
          <w:szCs w:val="26"/>
        </w:rPr>
        <w:t xml:space="preserve">1. Bus basics</w:t>
      </w:r>
    </w:p>
    <w:p>
      <w:pPr>
        <w:pStyle w:val="ListParagraph"/>
        <w:numPr>
          <w:ilvl w:val="0"/>
          <w:numId w:val="2"/>
        </w:numPr>
        <w:spacing w:after="60"/>
      </w:pPr>
      <w:r>
        <w:rPr>
          <w:rFonts w:ascii="Arial" w:cs="Arial" w:eastAsia="Arial" w:hAnsi="Arial"/>
          <w:b/>
          <w:bCs/>
          <w:sz w:val="20"/>
          <w:szCs w:val="20"/>
        </w:rPr>
        <w:t xml:space="preserve">Protocol: </w:t>
      </w:r>
      <w:r>
        <w:rPr>
          <w:rFonts w:ascii="Arial" w:cs="Arial" w:eastAsia="Arial" w:hAnsi="Arial"/>
          <w:sz w:val="20"/>
          <w:szCs w:val="20"/>
        </w:rPr>
        <w:t xml:space="preserve">classic CAN 2.0A, 11-bit IDs, 1 Mbit/s. No CAN FD and no remote frames.</w:t>
      </w:r>
    </w:p>
    <w:p>
      <w:pPr>
        <w:pStyle w:val="ListParagraph"/>
        <w:numPr>
          <w:ilvl w:val="0"/>
          <w:numId w:val="2"/>
        </w:numPr>
        <w:spacing w:after="60"/>
      </w:pPr>
      <w:r>
        <w:rPr>
          <w:rFonts w:ascii="Arial" w:cs="Arial" w:eastAsia="Arial" w:hAnsi="Arial"/>
          <w:b/>
          <w:bCs/>
          <w:sz w:val="20"/>
          <w:szCs w:val="20"/>
        </w:rPr>
        <w:t xml:space="preserve">Transceiver: </w:t>
      </w:r>
      <w:r>
        <w:rPr>
          <w:rFonts w:ascii="Arial" w:cs="Arial" w:eastAsia="Arial" w:hAnsi="Arial"/>
          <w:sz w:val="20"/>
          <w:szCs w:val="20"/>
        </w:rPr>
        <w:t xml:space="preserve">TI SN65HVD230DR on 3.3 V, RS pin to GND (high-speed mode).</w:t>
      </w:r>
    </w:p>
    <w:p>
      <w:pPr>
        <w:pStyle w:val="ListParagraph"/>
        <w:numPr>
          <w:ilvl w:val="0"/>
          <w:numId w:val="2"/>
        </w:numPr>
        <w:spacing w:after="60"/>
      </w:pPr>
      <w:r>
        <w:rPr>
          <w:rFonts w:ascii="Arial" w:cs="Arial" w:eastAsia="Arial" w:hAnsi="Arial"/>
          <w:b/>
          <w:bCs/>
          <w:sz w:val="20"/>
          <w:szCs w:val="20"/>
        </w:rPr>
        <w:t xml:space="preserve">Termination: </w:t>
      </w:r>
      <w:r>
        <w:rPr>
          <w:rFonts w:ascii="Arial" w:cs="Arial" w:eastAsia="Arial" w:hAnsi="Arial"/>
          <w:sz w:val="20"/>
          <w:szCs w:val="20"/>
        </w:rPr>
        <w:t xml:space="preserve">120 Ω only in the two harness end plugs (2 W resistors), so the bus measures 60 Ω. No terminator on any node.</w:t>
      </w:r>
    </w:p>
    <w:p>
      <w:pPr>
        <w:pStyle w:val="ListParagraph"/>
        <w:numPr>
          <w:ilvl w:val="0"/>
          <w:numId w:val="2"/>
        </w:numPr>
        <w:spacing w:after="60"/>
      </w:pPr>
      <w:r>
        <w:rPr>
          <w:rFonts w:ascii="Arial" w:cs="Arial" w:eastAsia="Arial" w:hAnsi="Arial"/>
          <w:b/>
          <w:bCs/>
          <w:sz w:val="20"/>
          <w:szCs w:val="20"/>
        </w:rPr>
        <w:t xml:space="preserve">Priority: </w:t>
      </w:r>
      <w:r>
        <w:rPr>
          <w:rFonts w:ascii="Arial" w:cs="Arial" w:eastAsia="Arial" w:hAnsi="Arial"/>
          <w:sz w:val="20"/>
          <w:szCs w:val="20"/>
        </w:rPr>
        <w:t xml:space="preserve">lower ID wins the bus, so faults get the lowest IDs and slow data the highest.</w:t>
      </w:r>
    </w:p>
    <w:p>
      <w:pPr>
        <w:pStyle w:val="Heading1"/>
        <w:spacing w:after="100" w:before="240"/>
      </w:pPr>
      <w:r>
        <w:rPr>
          <w:rFonts w:ascii="Arial" w:cs="Arial" w:eastAsia="Arial" w:hAnsi="Arial"/>
          <w:b/>
          <w:bCs/>
          <w:sz w:val="26"/>
          <w:szCs w:val="26"/>
        </w:rPr>
        <w:t xml:space="preserve">2. Node hardware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tblHeader/>
        </w:trPr>
        <w:tc>
          <w:tcPr>
            <w:tcW w:type="dxa" w:w="2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Item</w:t>
            </w:r>
          </w:p>
        </w:tc>
        <w:tc>
          <w:tcPr>
            <w:tcW w:type="dxa" w:w="71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Standard</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Node MCU</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Seeed XIAO ESP32-C3 (113991054). The hub is a XIAO ESP32-S3.</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CAN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TX = D7 (GPIO20), RX = D10 (GPIO10), each through a 0 Ω series resistor. 10 kΩ pull-up on TX keeps the bus quiet during boot.</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Boot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D0, D8, D9 (GPIO2, 8, 9) are sampled at reset. Never pull them low at power-up.</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Analog inputs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D1, D2 (ADC1). D3 is ADC2: use it as digital.</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Arduino "USB CDC On Boot" = Enabled, so Serial uses USB and not D7. Use D-pin names, not GPIO numbers.</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Connector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One Deutsch DT13-4P per node (12 V, GND, CAN-H, CAN-L), mating with the DT06-4S drop plug. Pin order per the harness standards doc.</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 V in → B340A reverse-polarity diode → SMBJ15A TVS → LM1084-5.0 → 1N5819 → XIAO 5V pin.</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Protection</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ESD2CAN24-Q1 on CAN-H/CAN-L at the connector.</w:t>
            </w:r>
          </w:p>
        </w:tc>
      </w:tr>
      <w:tr>
        <w:trPr>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Design start</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Club Altium project template plus the CAN Node Core reuse block.</w:t>
            </w:r>
          </w:p>
        </w:tc>
      </w:tr>
    </w:tbl>
    <w:p>
      <w:pPr>
        <w:pStyle w:val="Heading1"/>
        <w:spacing w:after="100" w:before="240"/>
      </w:pPr>
      <w:r>
        <w:rPr>
          <w:rFonts w:ascii="Arial" w:cs="Arial" w:eastAsia="Arial" w:hAnsi="Arial"/>
          <w:b/>
          <w:bCs/>
          <w:sz w:val="26"/>
          <w:szCs w:val="26"/>
        </w:rPr>
        <w:t xml:space="preserve">3. What every node must send</w:t>
      </w:r>
    </w:p>
    <w:p>
      <w:pPr>
        <w:pStyle w:val="Heading2"/>
        <w:spacing w:after="80" w:before="160"/>
      </w:pPr>
      <w:r>
        <w:rPr>
          <w:rFonts w:ascii="Arial" w:cs="Arial" w:eastAsia="Arial" w:hAnsi="Arial"/>
          <w:b/>
          <w:bCs/>
          <w:sz w:val="22"/>
          <w:szCs w:val="22"/>
        </w:rPr>
        <w:t xml:space="preserve">Heartbeat: once per second on 0x700 + node ID (no header)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Node ID</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From the node ID table</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State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booting, 1 OK, 2 warning, 3 fault</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2–3</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Error flags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Bits 0–7 node library: 0 no SYNC seen, 1 CAN error-passive, 2 TX queue overflow, 3 brownout/watchdog reset. Bits 8–15 node-specific</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4–5</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 version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 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Major, minor</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6–7</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Uptime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Seconds since power-up</w:t>
            </w:r>
          </w:p>
        </w:tc>
      </w:tr>
    </w:tbl>
    <w:p>
      <w:pPr>
        <w:pStyle w:val="Heading2"/>
        <w:spacing w:after="80" w:before="160"/>
      </w:pPr>
      <w:r>
        <w:rPr>
          <w:rFonts w:ascii="Arial" w:cs="Arial" w:eastAsia="Arial" w:hAnsi="Arial"/>
          <w:b/>
          <w:bCs/>
          <w:sz w:val="22"/>
          <w:szCs w:val="22"/>
        </w:rPr>
        <w:t xml:space="preserve">Data frames: 3-byte header + up to 5 data bytes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Sequence counter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per message on this ID, wraps 255 → 0. A gap means a dropped frame</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Time since 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µs since the node last saw SYNC (0x080). 0xFFFF = no SYNC yet</w:t>
            </w:r>
          </w:p>
        </w:tc>
      </w:tr>
      <w:tr>
        <w:trPr>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3–7</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Data</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Per message, below</w:t>
            </w:r>
          </w:p>
        </w:tc>
      </w:tr>
    </w:tbl>
    <w:p>
      <w:pPr>
        <w:spacing w:after="100"/>
      </w:pPr>
      <w:r>
        <w:rPr>
          <w:rFonts w:ascii="Arial" w:cs="Arial" w:eastAsia="Arial" w:hAnsi="Arial"/>
          <w:sz w:val="20"/>
          <w:szCs w:val="20"/>
        </w:rPr>
        <w:t xml:space="preserve">The hub sends SYNC on 0x080 every 50 ms. Each node zeroes its µs counter on SYNC. On the bench model nodes may send 0xFFFF and rely on the hub timestamp.</w:t>
      </w:r>
    </w:p>
    <w:p>
      <w:pPr>
        <w:pStyle w:val="Heading1"/>
        <w:spacing w:after="100" w:before="240"/>
      </w:pPr>
      <w:r>
        <w:rPr>
          <w:rFonts w:ascii="Arial" w:cs="Arial" w:eastAsia="Arial" w:hAnsi="Arial"/>
          <w:b/>
          <w:bCs/>
          <w:sz w:val="26"/>
          <w:szCs w:val="26"/>
        </w:rPr>
        <w:t xml:space="preserve">4. Data rules</w:t>
      </w:r>
    </w:p>
    <w:p>
      <w:pPr>
        <w:pStyle w:val="ListParagraph"/>
        <w:numPr>
          <w:ilvl w:val="0"/>
          <w:numId w:val="2"/>
        </w:numPr>
        <w:spacing w:after="60"/>
      </w:pPr>
      <w:r>
        <w:rPr>
          <w:rFonts w:ascii="Arial" w:cs="Arial" w:eastAsia="Arial" w:hAnsi="Arial"/>
          <w:b/>
          <w:bCs/>
          <w:sz w:val="20"/>
          <w:szCs w:val="20"/>
        </w:rPr>
        <w:t xml:space="preserve">Integers only, </w:t>
      </w:r>
      <w:r>
        <w:rPr>
          <w:rFonts w:ascii="Arial" w:cs="Arial" w:eastAsia="Arial" w:hAnsi="Arial"/>
          <w:sz w:val="20"/>
          <w:szCs w:val="20"/>
        </w:rPr>
        <w:t xml:space="preserve">little-endian. No floats on the bus.</w:t>
      </w:r>
    </w:p>
    <w:p>
      <w:pPr>
        <w:pStyle w:val="ListParagraph"/>
        <w:numPr>
          <w:ilvl w:val="0"/>
          <w:numId w:val="2"/>
        </w:numPr>
        <w:spacing w:after="60"/>
      </w:pPr>
      <w:r>
        <w:rPr>
          <w:rFonts w:ascii="Arial" w:cs="Arial" w:eastAsia="Arial" w:hAnsi="Arial"/>
          <w:b/>
          <w:bCs/>
          <w:sz w:val="20"/>
          <w:szCs w:val="20"/>
        </w:rPr>
        <w:t xml:space="preserve">Scaled: </w:t>
      </w:r>
      <w:r>
        <w:rPr>
          <w:rFonts w:ascii="Arial" w:cs="Arial" w:eastAsia="Arial" w:hAnsi="Arial"/>
          <w:sz w:val="20"/>
          <w:szCs w:val="20"/>
        </w:rPr>
        <w:t xml:space="preserve">real value = raw × factor + offset, as listed in the DBC.</w:t>
      </w:r>
    </w:p>
    <w:p>
      <w:pPr>
        <w:pStyle w:val="ListParagraph"/>
        <w:numPr>
          <w:ilvl w:val="0"/>
          <w:numId w:val="2"/>
        </w:numPr>
        <w:spacing w:after="60"/>
      </w:pPr>
      <w:r>
        <w:rPr>
          <w:rFonts w:ascii="Arial" w:cs="Arial" w:eastAsia="Arial" w:hAnsi="Arial"/>
          <w:b/>
          <w:bCs/>
          <w:sz w:val="20"/>
          <w:szCs w:val="20"/>
        </w:rPr>
        <w:t xml:space="preserve">Signed types </w:t>
      </w:r>
      <w:r>
        <w:rPr>
          <w:rFonts w:ascii="Arial" w:cs="Arial" w:eastAsia="Arial" w:hAnsi="Arial"/>
          <w:sz w:val="20"/>
          <w:szCs w:val="20"/>
        </w:rPr>
        <w:t xml:space="preserve">for anything that can go negative.</w:t>
      </w:r>
    </w:p>
    <w:p>
      <w:pPr>
        <w:pStyle w:val="ListParagraph"/>
        <w:numPr>
          <w:ilvl w:val="0"/>
          <w:numId w:val="2"/>
        </w:numPr>
        <w:spacing w:after="60"/>
      </w:pPr>
      <w:r>
        <w:rPr>
          <w:rFonts w:ascii="Arial" w:cs="Arial" w:eastAsia="Arial" w:hAnsi="Arial"/>
          <w:b/>
          <w:bCs/>
          <w:sz w:val="20"/>
          <w:szCs w:val="20"/>
        </w:rPr>
        <w:t xml:space="preserve">Not available: </w:t>
      </w:r>
      <w:r>
        <w:rPr>
          <w:rFonts w:ascii="Arial" w:cs="Arial" w:eastAsia="Arial" w:hAnsi="Arial"/>
          <w:sz w:val="20"/>
          <w:szCs w:val="20"/>
        </w:rPr>
        <w:t xml:space="preserve">all ones (0xFF, 0xFFFF; 0x7FFF signed). Never 0.</w:t>
      </w:r>
    </w:p>
    <w:p>
      <w:pPr>
        <w:pStyle w:val="ListParagraph"/>
        <w:numPr>
          <w:ilvl w:val="0"/>
          <w:numId w:val="2"/>
        </w:numPr>
        <w:spacing w:after="60"/>
      </w:pPr>
      <w:r>
        <w:rPr>
          <w:rFonts w:ascii="Arial" w:cs="Arial" w:eastAsia="Arial" w:hAnsi="Arial"/>
          <w:b/>
          <w:bCs/>
          <w:sz w:val="20"/>
          <w:szCs w:val="20"/>
        </w:rPr>
        <w:t xml:space="preserve">Fixed rates: </w:t>
      </w:r>
      <w:r>
        <w:rPr>
          <w:rFonts w:ascii="Arial" w:cs="Arial" w:eastAsia="Arial" w:hAnsi="Arial"/>
          <w:sz w:val="20"/>
          <w:szCs w:val="20"/>
        </w:rPr>
        <w:t xml:space="preserve">periodic messages on a steady schedule. Faults go out on change, then 10 Hz while active.</w:t>
      </w:r>
    </w:p>
    <w:p>
      <w:pPr>
        <w:pStyle w:val="ListParagraph"/>
        <w:numPr>
          <w:ilvl w:val="0"/>
          <w:numId w:val="2"/>
        </w:numPr>
        <w:spacing w:after="60"/>
      </w:pPr>
      <w:r>
        <w:rPr>
          <w:rFonts w:ascii="Arial" w:cs="Arial" w:eastAsia="Arial" w:hAnsi="Arial"/>
          <w:b/>
          <w:bCs/>
          <w:sz w:val="20"/>
          <w:szCs w:val="20"/>
        </w:rPr>
        <w:t xml:space="preserve">Stay in your slice: </w:t>
      </w:r>
      <w:r>
        <w:rPr>
          <w:rFonts w:ascii="Arial" w:cs="Arial" w:eastAsia="Arial" w:hAnsi="Arial"/>
          <w:sz w:val="20"/>
          <w:szCs w:val="20"/>
        </w:rPr>
        <w:t xml:space="preserve">a node only sends on IDs assigned to it in the registry.</w:t>
      </w:r>
    </w:p>
    <w:p>
      <w:pPr>
        <w:pStyle w:val="Heading1"/>
        <w:spacing w:after="100" w:before="240"/>
      </w:pPr>
      <w:r>
        <w:rPr>
          <w:rFonts w:ascii="Arial" w:cs="Arial" w:eastAsia="Arial" w:hAnsi="Arial"/>
          <w:b/>
          <w:bCs/>
          <w:sz w:val="26"/>
          <w:szCs w:val="26"/>
        </w:rPr>
        <w:t xml:space="preserve">5. CAN ID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IDs</w:t>
            </w:r>
          </w:p>
        </w:tc>
        <w:tc>
          <w:tcPr>
            <w:tcW w:type="dxa" w:w="7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Block</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0x000–0x07F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Faults</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0x080–0x0FF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Timing (SYNC 0x080, GPS time 0x090)</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0x100–0x1FF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Steering</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0x200–0x2FF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0x300–0x3FF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Suspension and wheels</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0x400–0x4FF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Vehicle dynamics</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0x500–0x5FF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Fuel and electrical</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0x600–0x6FF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Spare</w:t>
            </w:r>
          </w:p>
        </w:tc>
      </w:tr>
      <w:tr>
        <w:trPr>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0x700–0x77F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Heartbeats (0x700 + node ID)</w:t>
            </w:r>
          </w:p>
        </w:tc>
      </w:tr>
    </w:tbl>
    <w:p>
      <w:pPr>
        <w:pStyle w:val="Heading2"/>
        <w:spacing w:after="80" w:before="160"/>
      </w:pPr>
      <w:r>
        <w:rPr>
          <w:rFonts w:ascii="Arial" w:cs="Arial" w:eastAsia="Arial" w:hAnsi="Arial"/>
          <w:b/>
          <w:bCs/>
          <w:sz w:val="22"/>
          <w:szCs w:val="22"/>
        </w:rPr>
        <w:t xml:space="preserve">Node IDs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320"/>
        <w:gridCol w:w="1800"/>
        <w:gridCol w:w="2000"/>
      </w:tblGrid>
      <w:tr>
        <w:trPr>
          <w:tblHeader/>
        </w:trPr>
        <w:tc>
          <w:tcPr>
            <w:tcW w:type="dxa" w:w="1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 ID</w:t>
            </w:r>
          </w:p>
        </w:tc>
        <w:tc>
          <w:tcPr>
            <w:tcW w:type="dxa" w:w="4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w:t>
            </w:r>
          </w:p>
        </w:tc>
        <w:tc>
          <w:tcPr>
            <w:tcW w:type="dxa" w:w="1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Heartbeat</w:t>
            </w:r>
          </w:p>
        </w:tc>
        <w:tc>
          <w:tcPr>
            <w:tcW w:type="dxa" w:w="20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Built by</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0x701</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0x702</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Toph</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0x03</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Front diff</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0x703</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 team</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0x04</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Fuel gauge (PIC)</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0x704</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Unassigned</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0x05</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Shock travel, later wheel speed</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0x705</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Shock team</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0x06</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Engine and CVT speed</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0x706</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Unplanned (reserved)</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0x07</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0x707</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 if built</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 diff</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0x708</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 team</w:t>
            </w:r>
          </w:p>
        </w:tc>
      </w:tr>
      <w:tr>
        <w:trPr>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0x10–0x7F</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New nodes, claimed in the registry</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0x710–0x77F</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bl>
    <w:p>
      <w:pPr>
        <w:pStyle w:val="Heading1"/>
        <w:spacing w:after="100" w:before="240"/>
      </w:pPr>
      <w:r>
        <w:rPr>
          <w:rFonts w:ascii="Arial" w:cs="Arial" w:eastAsia="Arial" w:hAnsi="Arial"/>
          <w:b/>
          <w:bCs/>
          <w:sz w:val="26"/>
          <w:szCs w:val="26"/>
        </w:rPr>
        <w:t xml:space="preserve">6. Messages</w:t>
      </w:r>
    </w:p>
    <w:p>
      <w:pPr>
        <w:spacing w:after="100"/>
      </w:pPr>
      <w:r>
        <w:rPr>
          <w:rFonts w:ascii="Arial" w:cs="Arial" w:eastAsia="Arial" w:hAnsi="Arial"/>
          <w:sz w:val="20"/>
          <w:szCs w:val="20"/>
        </w:rPr>
        <w:t xml:space="preserve">Generated from dbc/baja_daq.dbc. Hub-internal messages are logged under these IDs but never sent on the wire.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500"/>
        <w:gridCol w:w="1200"/>
        <w:gridCol w:w="800"/>
        <w:gridCol w:w="3720"/>
      </w:tblGrid>
      <w:tr>
        <w:trPr>
          <w:tblHeader/>
        </w:trPr>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w:t>
            </w:r>
          </w:p>
        </w:tc>
        <w:tc>
          <w:tcPr>
            <w:tcW w:type="dxa" w:w="17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Message</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Sent by</w:t>
            </w:r>
          </w:p>
        </w:tc>
        <w:tc>
          <w:tcPr>
            <w:tcW w:type="dxa" w:w="12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Rate</w:t>
            </w:r>
          </w:p>
        </w:tc>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Header</w:t>
            </w:r>
          </w:p>
        </w:tc>
        <w:tc>
          <w:tcPr>
            <w:tcW w:type="dxa" w:w="37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Data bytes: signal, type, factor, unit</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DiffF_Fault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DIFF_F</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DiffR_Fault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SyncCounter, u8, 1</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0x090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0–3: UtcTimeOfDay, u32, 1 ms</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RS_SteerAngles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FrontAngle, i16, 0.01 deg</w:t>
            </w:r>
          </w:p>
          <w:p>
            <w:r>
              <w:rPr>
                <w:rFonts w:ascii="Arial" w:cs="Arial" w:eastAsia="Arial" w:hAnsi="Arial"/>
                <w:b w:val="false"/>
                <w:bCs w:val="false"/>
                <w:sz w:val="17"/>
                <w:szCs w:val="17"/>
              </w:rPr>
              <w:t xml:space="preserve">5–6: RearAngle, i16, 0.01 deg</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RS_SteerMotor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MotorCurrent, i16, 0.01 A</w:t>
            </w:r>
          </w:p>
          <w:p>
            <w:r>
              <w:rPr>
                <w:rFonts w:ascii="Arial" w:cs="Arial" w:eastAsia="Arial" w:hAnsi="Arial"/>
                <w:b w:val="false"/>
                <w:bCs w:val="false"/>
                <w:sz w:val="17"/>
                <w:szCs w:val="17"/>
              </w:rPr>
              <w:t xml:space="preserve">5: Mode, u8, 1</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PT_EngineCVT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EngineSpeed, u16, 1 rpm</w:t>
            </w:r>
          </w:p>
          <w:p>
            <w:r>
              <w:rPr>
                <w:rFonts w:ascii="Arial" w:cs="Arial" w:eastAsia="Arial" w:hAnsi="Arial"/>
                <w:b w:val="false"/>
                <w:bCs w:val="false"/>
                <w:sz w:val="17"/>
                <w:szCs w:val="17"/>
              </w:rPr>
              <w:t xml:space="preserve">5–6: CvtSecondarySpeed, u16, 1 rpm</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DiffF_Status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DIFF_F</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Current, i16, 0.01 A</w:t>
            </w:r>
          </w:p>
          <w:p>
            <w:r>
              <w:rPr>
                <w:rFonts w:ascii="Arial" w:cs="Arial" w:eastAsia="Arial" w:hAnsi="Arial"/>
                <w:b w:val="false"/>
                <w:bCs w:val="false"/>
                <w:sz w:val="17"/>
                <w:szCs w:val="17"/>
              </w:rPr>
              <w:t xml:space="preserve">5: State, u8, 1</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0x211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DiffR_Status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DIFF_R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Current, i16, 0.01 A</w:t>
            </w:r>
          </w:p>
          <w:p>
            <w:r>
              <w:rPr>
                <w:rFonts w:ascii="Arial" w:cs="Arial" w:eastAsia="Arial" w:hAnsi="Arial"/>
                <w:b w:val="false"/>
                <w:bCs w:val="false"/>
                <w:sz w:val="17"/>
                <w:szCs w:val="17"/>
              </w:rPr>
              <w:t xml:space="preserve">5: State, u8, 1</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SB_WheelSpeed</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SENSORV2</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LeftWheel, u16, 0.1 rpm</w:t>
            </w:r>
          </w:p>
          <w:p>
            <w:r>
              <w:rPr>
                <w:rFonts w:ascii="Arial" w:cs="Arial" w:eastAsia="Arial" w:hAnsi="Arial"/>
                <w:b w:val="false"/>
                <w:bCs w:val="false"/>
                <w:sz w:val="17"/>
                <w:szCs w:val="17"/>
              </w:rPr>
              <w:t xml:space="preserve">5–6: RightWheel, u16, 0.1 rpm</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SB_ShockTravel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SENSORV2</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ST1, u16, 0.01 mm</w:t>
            </w:r>
          </w:p>
          <w:p>
            <w:r>
              <w:rPr>
                <w:rFonts w:ascii="Arial" w:cs="Arial" w:eastAsia="Arial" w:hAnsi="Arial"/>
                <w:b w:val="false"/>
                <w:bCs w:val="false"/>
                <w:sz w:val="17"/>
                <w:szCs w:val="17"/>
              </w:rPr>
              <w:t xml:space="preserve">5–6: ST2, u16, 0.01 mm</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HUB_IMU_Accel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AccelX, i16, 0.001 g</w:t>
            </w:r>
          </w:p>
          <w:p>
            <w:r>
              <w:rPr>
                <w:rFonts w:ascii="Arial" w:cs="Arial" w:eastAsia="Arial" w:hAnsi="Arial"/>
                <w:b w:val="false"/>
                <w:bCs w:val="false"/>
                <w:sz w:val="17"/>
                <w:szCs w:val="17"/>
              </w:rPr>
              <w:t xml:space="preserve">2–3: AccelY, i16, 0.001 g</w:t>
            </w:r>
          </w:p>
          <w:p>
            <w:r>
              <w:rPr>
                <w:rFonts w:ascii="Arial" w:cs="Arial" w:eastAsia="Arial" w:hAnsi="Arial"/>
                <w:b w:val="false"/>
                <w:bCs w:val="false"/>
                <w:sz w:val="17"/>
                <w:szCs w:val="17"/>
              </w:rPr>
              <w:t xml:space="preserve">4–5: AccelZ, i16, 0.001 g</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HUB_IMU_Gyro</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GyroX, i16, 0.1 deg/s</w:t>
            </w:r>
          </w:p>
          <w:p>
            <w:r>
              <w:rPr>
                <w:rFonts w:ascii="Arial" w:cs="Arial" w:eastAsia="Arial" w:hAnsi="Arial"/>
                <w:b w:val="false"/>
                <w:bCs w:val="false"/>
                <w:sz w:val="17"/>
                <w:szCs w:val="17"/>
              </w:rPr>
              <w:t xml:space="preserve">2–3: GyroY, i16, 0.1 deg/s</w:t>
            </w:r>
          </w:p>
          <w:p>
            <w:r>
              <w:rPr>
                <w:rFonts w:ascii="Arial" w:cs="Arial" w:eastAsia="Arial" w:hAnsi="Arial"/>
                <w:b w:val="false"/>
                <w:bCs w:val="false"/>
                <w:sz w:val="17"/>
                <w:szCs w:val="17"/>
              </w:rPr>
              <w:t xml:space="preserve">4–5: GyroZ, i16, 0.1 deg/s</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GPS_Lat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Latitude, i32, 1e-07 deg</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Longitude, i32, 1e-07 deg</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0x412</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GPS_SpeedHeading</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GroundSpeed, u16, 0.01 m/s</w:t>
            </w:r>
          </w:p>
          <w:p>
            <w:r>
              <w:rPr>
                <w:rFonts w:ascii="Arial" w:cs="Arial" w:eastAsia="Arial" w:hAnsi="Arial"/>
                <w:b w:val="false"/>
                <w:bCs w:val="false"/>
                <w:sz w:val="17"/>
                <w:szCs w:val="17"/>
              </w:rPr>
              <w:t xml:space="preserve">5–6: Heading, u16, 0.01 deg</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FUEL_Level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FUEL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FuelLevel, u8, 0.5 %</w:t>
            </w:r>
          </w:p>
        </w:tc>
      </w:tr>
      <w:tr>
        <w:trPr>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HUB_Battery</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BatteryVoltage, u16, 0.01 V</w:t>
            </w:r>
          </w:p>
        </w:tc>
      </w:tr>
    </w:tbl>
    <w:p>
      <w:pPr>
        <w:pStyle w:val="Heading1"/>
        <w:spacing w:after="100" w:before="240"/>
      </w:pPr>
      <w:r>
        <w:rPr>
          <w:rFonts w:ascii="Arial" w:cs="Arial" w:eastAsia="Arial" w:hAnsi="Arial"/>
          <w:b/>
          <w:bCs/>
          <w:sz w:val="26"/>
          <w:szCs w:val="26"/>
        </w:rPr>
        <w:t xml:space="preserve">7. Bus load</w:t>
      </w:r>
    </w:p>
    <w:p>
      <w:pPr>
        <w:spacing w:after="100"/>
      </w:pPr>
      <w:r>
        <w:rPr>
          <w:rFonts w:ascii="Arial" w:cs="Arial" w:eastAsia="Arial" w:hAnsi="Arial"/>
          <w:sz w:val="20"/>
          <w:szCs w:val="20"/>
        </w:rPr>
        <w:t xml:space="preserve">All periodic on-bus messages total about 1,060 frames/s, or 12.9% of 1 Mbit/s worst case with bit stuffing. The limit is 50%. tools/check_dbc.py recomputes this on every DBC change.</w:t>
      </w:r>
    </w:p>
    <w:p>
      <w:pPr>
        <w:pStyle w:val="Heading1"/>
        <w:spacing w:after="100" w:before="240"/>
      </w:pPr>
      <w:r>
        <w:rPr>
          <w:rFonts w:ascii="Arial" w:cs="Arial" w:eastAsia="Arial" w:hAnsi="Arial"/>
          <w:b/>
          <w:bCs/>
          <w:sz w:val="26"/>
          <w:szCs w:val="26"/>
        </w:rPr>
        <w:t xml:space="preserve">8. Adding a new sensor</w:t>
      </w:r>
    </w:p>
    <w:p>
      <w:pPr>
        <w:pStyle w:val="ListParagraph"/>
        <w:numPr>
          <w:ilvl w:val="0"/>
          <w:numId w:val="3"/>
        </w:numPr>
        <w:spacing w:after="60"/>
      </w:pPr>
      <w:r>
        <w:rPr>
          <w:rFonts w:ascii="Arial" w:cs="Arial" w:eastAsia="Arial" w:hAnsi="Arial"/>
          <w:sz w:val="20"/>
          <w:szCs w:val="20"/>
        </w:rPr>
        <w:t xml:space="preserve">Claim a node ID and an ID slice in the CAN ID registry (Wrigley).</w:t>
      </w:r>
    </w:p>
    <w:p>
      <w:pPr>
        <w:pStyle w:val="ListParagraph"/>
        <w:numPr>
          <w:ilvl w:val="0"/>
          <w:numId w:val="3"/>
        </w:numPr>
        <w:spacing w:after="60"/>
      </w:pPr>
      <w:r>
        <w:rPr>
          <w:rFonts w:ascii="Arial" w:cs="Arial" w:eastAsia="Arial" w:hAnsi="Arial"/>
          <w:sz w:val="20"/>
          <w:szCs w:val="20"/>
        </w:rPr>
        <w:t xml:space="preserve">Add every signal to the DBC: bytes, type, factor, offset, unit, rate.</w:t>
      </w:r>
    </w:p>
    <w:p>
      <w:pPr>
        <w:pStyle w:val="ListParagraph"/>
        <w:numPr>
          <w:ilvl w:val="0"/>
          <w:numId w:val="3"/>
        </w:numPr>
        <w:spacing w:after="60"/>
      </w:pPr>
      <w:r>
        <w:rPr>
          <w:rFonts w:ascii="Arial" w:cs="Arial" w:eastAsia="Arial" w:hAnsi="Arial"/>
          <w:sz w:val="20"/>
          <w:szCs w:val="20"/>
        </w:rPr>
        <w:t xml:space="preserve">Run tools/check_dbc.py until it prints PASS. Toph reviews.</w:t>
      </w:r>
    </w:p>
    <w:p>
      <w:pPr>
        <w:pStyle w:val="ListParagraph"/>
        <w:numPr>
          <w:ilvl w:val="0"/>
          <w:numId w:val="3"/>
        </w:numPr>
        <w:spacing w:after="60"/>
      </w:pPr>
      <w:r>
        <w:rPr>
          <w:rFonts w:ascii="Arial" w:cs="Arial" w:eastAsia="Arial" w:hAnsi="Arial"/>
          <w:sz w:val="20"/>
          <w:szCs w:val="20"/>
        </w:rPr>
        <w:t xml:space="preserve">Build the board from the club template and CAN Node Core block; build firmware on the node library.</w:t>
      </w:r>
    </w:p>
    <w:p>
      <w:pPr>
        <w:pStyle w:val="ListParagraph"/>
        <w:numPr>
          <w:ilvl w:val="0"/>
          <w:numId w:val="3"/>
        </w:numPr>
        <w:spacing w:after="60"/>
      </w:pPr>
      <w:r>
        <w:rPr>
          <w:rFonts w:ascii="Arial" w:cs="Arial" w:eastAsia="Arial" w:hAnsi="Arial"/>
          <w:sz w:val="20"/>
          <w:szCs w:val="20"/>
        </w:rPr>
        <w:t xml:space="preserve">Bench test: plug in, see the heartbeat on the dashboard, check values decode in real units.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2026-10-20T07:43:58.326Z</dcterms:created>
  <dcterms:modified xsi:type="dcterms:W3CDTF">2026-10-20T07:43:58.341Z</dcterms:modified>
</cp:coreProperties>
</file>

<file path=docProps/custom.xml><?xml version="1.0" encoding="utf-8"?>
<Properties xmlns="http://schemas.openxmlformats.org/officeDocument/2006/custom-properties" xmlns:vt="http://schemas.openxmlformats.org/officeDocument/2006/docPropsVTypes"/>
</file>