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Mount Maunganui Lifeguard Service</w:t>
      </w:r>
    </w:p>
    <w:p>
      <w:r>
        <w:t>One-site natural-hazards pilot  •  21 Adams Avenue  •  Valence / Lee review  •  Draft v0.2</w:t>
      </w:r>
    </w:p>
    <w:p>
      <w:r>
        <w:t>Purpose: consolidate reproducible council hazard evidence at the verified clubhouse point. The pilot reports original source classifications and limitations; Lee’s company controls thresholds, consequences, professional ratings and approval.</w:t>
      </w:r>
    </w:p>
    <w:p>
      <w:pPr>
        <w:pStyle w:val="Heading1"/>
      </w:pPr>
      <w:r>
        <w:t>What is established</w:t>
      </w:r>
    </w:p>
    <w:p>
      <w:r>
        <w:rPr>
          <w:b w:val="0"/>
        </w:rPr>
        <w:t>Tauranga City Council’s 4 September 2026 QLRA update states that landslide and rockfall risk remains at the lifeguard building, although it is comparatively lower than at the holiday park and hot pools. More detailed rockfall modelling is recommended. This is a documented hazard statement, NOT an approved red/amber/green assessment.</w:t>
      </w:r>
    </w:p>
    <w:p>
      <w:r>
        <w:t>The verified query point is -37.631147, 176.177011. Current satellite imagery and the named Mount Maunganui Lifeguard Service place locate it on the clubhouse at 21 Adams Avenue. TCC’s property service also returns 21 Adams Avenue at the point. The building footprint and lease boundary remain deliberately out of scope for this point-first pilot.</w:t>
      </w:r>
    </w:p>
    <w:p>
      <w:pPr>
        <w:pStyle w:val="Heading1"/>
      </w:pPr>
      <w:r>
        <w:t>Interactive demonstration delivered</w:t>
      </w:r>
    </w:p>
    <w:p>
      <w:r>
        <w:t>Open index.html in Chrome or Edge with internet access. The map opens at the verified clubhouse marker and presents the retained point evidence by hazard. Every finding records its source, original classification, scenario, query location, check date, council-map cross-check and limitations. Missing evidence is unassessed; a GIS no-hit is never coloured green or treated as proof of safety.</w:t>
      </w:r>
    </w:p>
    <w:p>
      <w:r>
        <w:t>Actual council results at the point: the BOPRC tsunami evacuation layer intersects Land; tsunami inundation intersects Yellow for the 2,500-year ARI scenario and Orange for the 5 m-above-MHWS scenario, while the 2 m scenario has no point hit. BOPRC Level B liquefaction is Possible on Active Foredunes with lateral spreading recorded No; Level A has no point hit. The TCC 1% AEP 2130 RCP8.5 flood layer and BOPRC historic-flood layer have no point hit. BOPRC landslide rasters return NoData, so landslide/rockfall remains unassessed alongside TCC’s documented site-specific QLRA statement. Coastal evidence remains unassessed.</w:t>
      </w:r>
    </w:p>
    <w:p>
      <w:pPr>
        <w:pStyle w:val="Heading1"/>
      </w:pPr>
      <w:r>
        <w:t>Point evidence register</w:t>
      </w:r>
    </w:p>
    <w:tbl>
      <w:tblPr>
        <w:tblW w:type="dxa" w:w="9936"/>
        <w:jc w:val="center"/>
        <w:tblLayout w:type="fixed"/>
        <w:tblLook w:firstColumn="1" w:firstRow="1" w:lastColumn="0" w:lastRow="0" w:noHBand="0" w:noVBand="1" w:val="04A0"/>
      </w:tblPr>
      <w:tblGrid>
        <w:gridCol w:w="3389"/>
        <w:gridCol w:w="3389"/>
        <w:gridCol w:w="3389"/>
        <w:gridCol w:w="2232"/>
      </w:tblGrid>
      <w:tr>
        <w:tc>
          <w:tcPr>
            <w:tcW w:type="dxa" w:w="1512"/>
            <w:shd w:fill="15384B"/>
            <w:vAlign w:val="top"/>
          </w:tcPr>
          <w:p>
            <w:pPr>
              <w:spacing w:after="0" w:line="216" w:lineRule="auto"/>
            </w:pPr>
            <w:r>
              <w:rPr>
                <w:b/>
                <w:color w:val="FFFFFF"/>
                <w:sz w:val="13"/>
              </w:rPr>
              <w:t>Hazard</w:t>
            </w:r>
          </w:p>
        </w:tc>
        <w:tc>
          <w:tcPr>
            <w:tcW w:type="dxa" w:w="3240"/>
            <w:shd w:fill="15384B"/>
            <w:vAlign w:val="top"/>
          </w:tcPr>
          <w:p>
            <w:pPr>
              <w:spacing w:after="0" w:line="216" w:lineRule="auto"/>
            </w:pPr>
            <w:r>
              <w:rPr>
                <w:b/>
                <w:color w:val="FFFFFF"/>
                <w:sz w:val="13"/>
              </w:rPr>
              <w:t>Actual point result</w:t>
            </w:r>
          </w:p>
        </w:tc>
        <w:tc>
          <w:tcPr>
            <w:tcW w:type="dxa" w:w="2952"/>
            <w:shd w:fill="15384B"/>
            <w:vAlign w:val="top"/>
          </w:tcPr>
          <w:p>
            <w:pPr>
              <w:spacing w:after="0" w:line="216" w:lineRule="auto"/>
            </w:pPr>
            <w:r>
              <w:rPr>
                <w:b/>
                <w:color w:val="FFFFFF"/>
                <w:sz w:val="13"/>
              </w:rPr>
              <w:t>Source / scenario</w:t>
            </w:r>
          </w:p>
        </w:tc>
        <w:tc>
          <w:tcPr>
            <w:tcW w:type="dxa" w:w="2232"/>
            <w:vAlign w:val="top"/>
            <w:shd w:fill="15384B"/>
          </w:tcPr>
          <w:p>
            <w:pPr>
              <w:spacing w:after="0" w:line="216" w:lineRule="auto"/>
            </w:pPr>
            <w:r>
              <w:rPr>
                <w:b/>
                <w:color w:val="FFFFFF"/>
                <w:sz w:val="13"/>
              </w:rPr>
              <w:t>Limitation</w:t>
            </w:r>
          </w:p>
        </w:tc>
      </w:tr>
      <w:tr>
        <w:tc>
          <w:tcPr>
            <w:tcW w:type="dxa" w:w="1512"/>
            <w:vAlign w:val="top"/>
          </w:tcPr>
          <w:p>
            <w:pPr>
              <w:spacing w:after="0" w:line="216" w:lineRule="auto"/>
            </w:pPr>
            <w:r>
              <w:rPr>
                <w:sz w:val="13"/>
              </w:rPr>
              <w:t>Flooding</w:t>
            </w:r>
          </w:p>
        </w:tc>
        <w:tc>
          <w:tcPr>
            <w:tcW w:type="dxa" w:w="3240"/>
            <w:vAlign w:val="top"/>
          </w:tcPr>
          <w:p>
            <w:pPr>
              <w:spacing w:after="0" w:line="216" w:lineRule="auto"/>
            </w:pPr>
            <w:r>
              <w:rPr>
                <w:sz w:val="13"/>
              </w:rPr>
              <w:t>TCC: no point hit. BOPRC historic extent: no point hit.</w:t>
            </w:r>
          </w:p>
        </w:tc>
        <w:tc>
          <w:tcPr>
            <w:tcW w:type="dxa" w:w="2952"/>
            <w:vAlign w:val="top"/>
          </w:tcPr>
          <w:p>
            <w:pPr>
              <w:spacing w:after="0" w:line="216" w:lineRule="auto"/>
            </w:pPr>
            <w:r>
              <w:rPr>
                <w:sz w:val="13"/>
              </w:rPr>
              <w:t>TCC 1% AEP, 2130, RCP8.5; BOPRC recorded historic extents.</w:t>
            </w:r>
          </w:p>
        </w:tc>
        <w:tc>
          <w:tcPr>
            <w:tcW w:type="dxa" w:w="2232"/>
            <w:vAlign w:val="top"/>
          </w:tcPr>
          <w:p>
            <w:pPr>
              <w:spacing w:after="0" w:line="216" w:lineRule="auto"/>
            </w:pPr>
            <w:r>
              <w:rPr>
                <w:sz w:val="13"/>
              </w:rPr>
              <w:t>No hit is not clearance. Historic coverage is event- and capture-dependent.</w:t>
            </w:r>
          </w:p>
        </w:tc>
      </w:tr>
      <w:tr>
        <w:tc>
          <w:tcPr>
            <w:tcW w:type="dxa" w:w="1512"/>
            <w:vAlign w:val="top"/>
          </w:tcPr>
          <w:p>
            <w:pPr>
              <w:spacing w:after="0" w:line="216" w:lineRule="auto"/>
            </w:pPr>
            <w:r>
              <w:rPr>
                <w:sz w:val="13"/>
              </w:rPr>
              <w:t>Tsunami</w:t>
            </w:r>
          </w:p>
        </w:tc>
        <w:tc>
          <w:tcPr>
            <w:tcW w:type="dxa" w:w="3240"/>
            <w:vAlign w:val="top"/>
          </w:tcPr>
          <w:p>
            <w:pPr>
              <w:spacing w:after="0" w:line="216" w:lineRule="auto"/>
            </w:pPr>
            <w:r>
              <w:rPr>
                <w:sz w:val="13"/>
              </w:rPr>
              <w:t>Evacuation: Land (ID 831). 2,500-year: Yellow (ID 10). 5 m: Orange (ID 7). 2 m: no point hit.</w:t>
            </w:r>
          </w:p>
        </w:tc>
        <w:tc>
          <w:tcPr>
            <w:tcW w:type="dxa" w:w="2952"/>
            <w:vAlign w:val="top"/>
          </w:tcPr>
          <w:p>
            <w:pPr>
              <w:spacing w:after="0" w:line="216" w:lineRule="auto"/>
            </w:pPr>
            <w:r>
              <w:rPr>
                <w:sz w:val="13"/>
              </w:rPr>
              <w:t>BOPRC Oct 2025 evacuation zone; 2024 GNS inundation scenarios.</w:t>
            </w:r>
          </w:p>
        </w:tc>
        <w:tc>
          <w:tcPr>
            <w:tcW w:type="dxa" w:w="2232"/>
            <w:vAlign w:val="top"/>
          </w:tcPr>
          <w:p>
            <w:pPr>
              <w:spacing w:after="0" w:line="216" w:lineRule="auto"/>
            </w:pPr>
            <w:r>
              <w:rPr>
                <w:sz w:val="13"/>
              </w:rPr>
              <w:t>Emergency-planning and model outputs; no-hit is not proof of no hazard.</w:t>
            </w:r>
          </w:p>
        </w:tc>
      </w:tr>
      <w:tr>
        <w:tc>
          <w:tcPr>
            <w:tcW w:type="dxa" w:w="1512"/>
            <w:vAlign w:val="top"/>
          </w:tcPr>
          <w:p>
            <w:pPr>
              <w:spacing w:after="0" w:line="216" w:lineRule="auto"/>
            </w:pPr>
            <w:r>
              <w:rPr>
                <w:sz w:val="13"/>
              </w:rPr>
              <w:t>Liquefaction</w:t>
            </w:r>
          </w:p>
        </w:tc>
        <w:tc>
          <w:tcPr>
            <w:tcW w:type="dxa" w:w="3240"/>
            <w:vAlign w:val="top"/>
          </w:tcPr>
          <w:p>
            <w:pPr>
              <w:spacing w:after="0" w:line="216" w:lineRule="auto"/>
            </w:pPr>
            <w:r>
              <w:rPr>
                <w:sz w:val="13"/>
              </w:rPr>
              <w:t>Level B: Possible; Active Foredunes; lateral spreading: No (ID 1891). Level A: no point hit.</w:t>
            </w:r>
          </w:p>
        </w:tc>
        <w:tc>
          <w:tcPr>
            <w:tcW w:type="dxa" w:w="2952"/>
            <w:vAlign w:val="top"/>
          </w:tcPr>
          <w:p>
            <w:pPr>
              <w:spacing w:after="0" w:line="216" w:lineRule="auto"/>
            </w:pPr>
            <w:r>
              <w:rPr>
                <w:sz w:val="13"/>
              </w:rPr>
              <w:t>BOPRC Level B calibrated desktop assessment; TC52/19, dated 9 Feb 2020.</w:t>
            </w:r>
          </w:p>
        </w:tc>
        <w:tc>
          <w:tcPr>
            <w:tcW w:type="dxa" w:w="2232"/>
            <w:vAlign w:val="top"/>
          </w:tcPr>
          <w:p>
            <w:pPr>
              <w:spacing w:after="0" w:line="216" w:lineRule="auto"/>
            </w:pPr>
            <w:r>
              <w:rPr>
                <w:sz w:val="13"/>
              </w:rPr>
              <w:t>Neighbourhood-scale assessment, not an individual-property investigation.</w:t>
            </w:r>
          </w:p>
        </w:tc>
      </w:tr>
      <w:tr>
        <w:tc>
          <w:tcPr>
            <w:tcW w:type="dxa" w:w="1512"/>
            <w:vAlign w:val="top"/>
          </w:tcPr>
          <w:p>
            <w:pPr>
              <w:spacing w:after="0" w:line="216" w:lineRule="auto"/>
            </w:pPr>
            <w:r>
              <w:rPr>
                <w:sz w:val="13"/>
              </w:rPr>
              <w:t>Landslide / rockfall</w:t>
            </w:r>
          </w:p>
        </w:tc>
        <w:tc>
          <w:tcPr>
            <w:tcW w:type="dxa" w:w="3240"/>
            <w:vAlign w:val="top"/>
          </w:tcPr>
          <w:p>
            <w:pPr>
              <w:spacing w:after="0" w:line="216" w:lineRule="auto"/>
            </w:pPr>
            <w:r>
              <w:rPr>
                <w:sz w:val="13"/>
              </w:rPr>
              <w:t>BOPRC rainfall and earthquake rasters: NoData. TCC QLRA says risk remains at lifeguard building.</w:t>
            </w:r>
          </w:p>
        </w:tc>
        <w:tc>
          <w:tcPr>
            <w:tcW w:type="dxa" w:w="2952"/>
            <w:vAlign w:val="top"/>
          </w:tcPr>
          <w:p>
            <w:pPr>
              <w:spacing w:after="0" w:line="216" w:lineRule="auto"/>
            </w:pPr>
            <w:r>
              <w:rPr>
                <w:sz w:val="13"/>
              </w:rPr>
              <w:t>BOPRC susceptibility rasters; TCC QLRA update, 4 Sep 2026.</w:t>
            </w:r>
          </w:p>
        </w:tc>
        <w:tc>
          <w:tcPr>
            <w:tcW w:type="dxa" w:w="2232"/>
            <w:vAlign w:val="top"/>
          </w:tcPr>
          <w:p>
            <w:pPr>
              <w:spacing w:after="0" w:line="216" w:lineRule="auto"/>
            </w:pPr>
            <w:r>
              <w:rPr>
                <w:sz w:val="13"/>
              </w:rPr>
              <w:t>Unassessed. Raster coverage is incomplete; QLRA is not a pilot rating.</w:t>
            </w:r>
          </w:p>
        </w:tc>
      </w:tr>
      <w:tr>
        <w:tc>
          <w:tcPr>
            <w:tcW w:type="dxa" w:w="1512"/>
            <w:vAlign w:val="top"/>
          </w:tcPr>
          <w:p>
            <w:pPr>
              <w:spacing w:after="0" w:line="216" w:lineRule="auto"/>
            </w:pPr>
            <w:r>
              <w:rPr>
                <w:sz w:val="13"/>
              </w:rPr>
              <w:t>Coastal</w:t>
            </w:r>
          </w:p>
        </w:tc>
        <w:tc>
          <w:tcPr>
            <w:tcW w:type="dxa" w:w="3240"/>
            <w:vAlign w:val="top"/>
          </w:tcPr>
          <w:p>
            <w:pPr>
              <w:spacing w:after="0" w:line="216" w:lineRule="auto"/>
            </w:pPr>
            <w:r>
              <w:rPr>
                <w:sz w:val="13"/>
              </w:rPr>
              <w:t>Unassessed.</w:t>
            </w:r>
          </w:p>
        </w:tc>
        <w:tc>
          <w:tcPr>
            <w:tcW w:type="dxa" w:w="2952"/>
            <w:vAlign w:val="top"/>
          </w:tcPr>
          <w:p>
            <w:pPr>
              <w:spacing w:after="0" w:line="216" w:lineRule="auto"/>
            </w:pPr>
            <w:r>
              <w:rPr>
                <w:sz w:val="13"/>
              </w:rPr>
              <w:t>BOPRC coastal catalogue identified; scenario-specific point extraction not yet reproducible.</w:t>
            </w:r>
          </w:p>
        </w:tc>
        <w:tc>
          <w:tcPr>
            <w:tcW w:type="dxa" w:w="2232"/>
            <w:vAlign w:val="top"/>
          </w:tcPr>
          <w:p>
            <w:pPr>
              <w:spacing w:after="0" w:line="216" w:lineRule="auto"/>
            </w:pPr>
            <w:r>
              <w:rPr>
                <w:sz w:val="13"/>
              </w:rPr>
              <w:t>Do not infer a category until a source scenario is connected and checked.</w:t>
            </w:r>
          </w:p>
        </w:tc>
      </w:tr>
      <w:tr>
        <w:tc>
          <w:tcPr>
            <w:tcW w:type="dxa" w:w="1512"/>
            <w:vAlign w:val="top"/>
          </w:tcPr>
          <w:p>
            <w:pPr>
              <w:spacing w:after="0" w:line="216" w:lineRule="auto"/>
            </w:pPr>
            <w:r>
              <w:rPr>
                <w:sz w:val="13"/>
              </w:rPr>
              <w:t>Active faults</w:t>
            </w:r>
          </w:p>
        </w:tc>
        <w:tc>
          <w:tcPr>
            <w:tcW w:type="dxa" w:w="3240"/>
            <w:vAlign w:val="top"/>
          </w:tcPr>
          <w:p>
            <w:pPr>
              <w:spacing w:after="0" w:line="216" w:lineRule="auto"/>
            </w:pPr>
            <w:r>
              <w:rPr>
                <w:sz w:val="13"/>
              </w:rPr>
              <w:t>No exact point hit.</w:t>
            </w:r>
          </w:p>
        </w:tc>
        <w:tc>
          <w:tcPr>
            <w:tcW w:type="dxa" w:w="2952"/>
            <w:vAlign w:val="top"/>
          </w:tcPr>
          <w:p>
            <w:pPr>
              <w:spacing w:after="0" w:line="216" w:lineRule="auto"/>
            </w:pPr>
            <w:r>
              <w:rPr>
                <w:sz w:val="13"/>
              </w:rPr>
              <w:t>BOPRC/GNS QMAP active faults, 1:250,000.</w:t>
            </w:r>
          </w:p>
        </w:tc>
        <w:tc>
          <w:tcPr>
            <w:tcW w:type="dxa" w:w="2232"/>
            <w:vAlign w:val="top"/>
          </w:tcPr>
          <w:p>
            <w:pPr>
              <w:spacing w:after="0" w:line="216" w:lineRule="auto"/>
            </w:pPr>
            <w:r>
              <w:rPr>
                <w:sz w:val="13"/>
              </w:rPr>
              <w:t>Scale is regional; proximity and significance are unassessed.</w:t>
            </w:r>
          </w:p>
        </w:tc>
      </w:tr>
    </w:tbl>
    <w:p>
      <w:pPr>
        <w:spacing w:after="0"/>
      </w:pPr>
    </w:p>
    <w:p>
      <w:pPr>
        <w:pStyle w:val="Heading1"/>
      </w:pPr>
      <w:r>
        <w:t>Completed checks and remaining gates</w:t>
      </w:r>
    </w:p>
    <w:p>
      <w:r>
        <w:t>1. COMPLETED — verified -37.631147, 176.177011 on current satellite imagery as the named lifeguard clubhouse at 21 Adams Avenue. Building and lease geometry can wait.</w:t>
      </w:r>
    </w:p>
    <w:p>
      <w:r>
        <w:t>2. COMPLETED — queried the original TCC and BOPRC services at the verified point and retained feature identifiers, classifications, scenarios, query point, checked date and limitations in the map.</w:t>
      </w:r>
    </w:p>
    <w:p>
      <w:r>
        <w:t>3. COMPLETED — cross-checked the point against council map renders. No-hit and NoData results remain unassessed, never green.</w:t>
      </w:r>
    </w:p>
    <w:p>
      <w:r>
        <w:t>4. OUTSTANDING — confirm commercial reuse and redistribution rights with councils and any GNS rights holders before reproducing source geometry in a client-facing product.</w:t>
      </w:r>
    </w:p>
    <w:p>
      <w:r>
        <w:t>5. LEE / ASSESSOR — define configurable thresholds and consequences, approve hazard-by-hazard professional ratings, and record any override. The pilot does not pre-empt those decisions.</w:t>
      </w:r>
    </w:p>
    <w:p>
      <w:pPr>
        <w:pStyle w:val="Heading1"/>
      </w:pPr>
      <w:r>
        <w:t>Source register (original URLs)</w:t>
      </w:r>
    </w:p>
    <w:p>
      <w:pPr>
        <w:pStyle w:val="SmallPrint"/>
        <w:spacing w:after="60"/>
      </w:pPr>
      <w:r>
        <w:rPr>
          <w:b/>
        </w:rPr>
        <w:t xml:space="preserve">Club address — </w:t>
      </w:r>
      <w:r>
        <w:t>https://mountlifeguards.co.nz/contact</w:t>
      </w:r>
    </w:p>
    <w:p>
      <w:pPr>
        <w:pStyle w:val="SmallPrint"/>
        <w:spacing w:after="60"/>
      </w:pPr>
      <w:r>
        <w:rPr>
          <w:b/>
        </w:rPr>
        <w:t xml:space="preserve">Council QLRA statement — </w:t>
      </w:r>
      <w:r>
        <w:t>https://newsbeat.tauranga.govt.nz/news-article/artmid/24836/articleid/15909/landslide-risk-assessment-provides-important-next-step-in-mauao-recovery</w:t>
      </w:r>
    </w:p>
    <w:p>
      <w:pPr>
        <w:pStyle w:val="SmallPrint"/>
        <w:spacing w:after="60"/>
      </w:pPr>
      <w:r>
        <w:rPr>
          <w:b/>
        </w:rPr>
        <w:t xml:space="preserve">Council risk and reoccupation FAQs — </w:t>
      </w:r>
      <w:r>
        <w:t>https://www.tauranga.govt.nz/council/mauao-landslide/mauao-landslide-frequently-asked-questions</w:t>
      </w:r>
    </w:p>
    <w:p>
      <w:pPr>
        <w:pStyle w:val="SmallPrint"/>
        <w:spacing w:after="60"/>
      </w:pPr>
      <w:r>
        <w:rPr>
          <w:b/>
        </w:rPr>
        <w:t xml:space="preserve">TCC property search — </w:t>
      </w:r>
      <w:r>
        <w:t>https://cemeteryaws.tauranga.govt.nz/server/rest/services/ePlan/ePlan_RoadPropertySearch/MapServer/1</w:t>
      </w:r>
    </w:p>
    <w:p>
      <w:pPr>
        <w:pStyle w:val="SmallPrint"/>
        <w:spacing w:after="60"/>
      </w:pPr>
      <w:r>
        <w:rPr>
          <w:b/>
        </w:rPr>
        <w:t xml:space="preserve">TCC 1% AEP 2130 flood — </w:t>
      </w:r>
      <w:r>
        <w:t>https://cemeteryaws.tauranga.govt.nz/server/rest/services/ePlan/ePlan_NaturalHazards/MapServer/1</w:t>
      </w:r>
    </w:p>
    <w:p>
      <w:pPr>
        <w:pStyle w:val="SmallPrint"/>
        <w:spacing w:after="60"/>
      </w:pPr>
      <w:r>
        <w:rPr>
          <w:b/>
        </w:rPr>
        <w:t xml:space="preserve">BOPRC tsunami / liquefaction / faults — </w:t>
      </w:r>
      <w:r>
        <w:t>https://gis.boprc.govt.nz/server2/rest/services/BayOfPlentyMaps/Natural_Hazards/MapServer</w:t>
      </w:r>
    </w:p>
    <w:p>
      <w:pPr>
        <w:pStyle w:val="SmallPrint"/>
        <w:spacing w:after="60"/>
      </w:pPr>
      <w:r>
        <w:rPr>
          <w:b/>
        </w:rPr>
        <w:t xml:space="preserve">BOPRC landslide susceptibility — </w:t>
      </w:r>
      <w:r>
        <w:t>https://gis.boprc.govt.nz/image/rest/services/Environment/Landslide_Susceptibility_Rainfall_and_Earthquake/MapServer</w:t>
      </w:r>
    </w:p>
    <w:p>
      <w:pPr>
        <w:pStyle w:val="SmallPrint"/>
        <w:spacing w:after="60"/>
      </w:pPr>
      <w:r>
        <w:rPr>
          <w:b/>
        </w:rPr>
        <w:t xml:space="preserve">BOPRC coastal hazard catalogue — </w:t>
      </w:r>
      <w:r>
        <w:t>https://gis.boprc.govt.nz/Geocortex/Essentials/REST/sites/Catalogue/map/mapservices/179/layers</w:t>
      </w:r>
    </w:p>
    <w:p>
      <w:r>
        <w:t>Next review: Lee’s qualified assessor to define thresholds, consequences and rating methodology. The remaining evidence work is to connect a reproducible scenario-specific coastal layer and confirm reuse rights. Property or lease geometry is optional later refinement.</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Print"/>
      <w:jc w:val="right"/>
    </w:pPr>
    <w:r>
      <w:t>WORKING DRAFT · 18 SEPT 2026  |  No professional risk rating issued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Print"/>
    </w:pPr>
    <w:r>
      <w:rPr>
        <w:b/>
        <w:color w:val="177D83"/>
      </w:rPr>
      <w:t>VALENCE  /  NATURAL HAZARDS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42D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2D42"/>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2D42"/>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42D4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rPr>
      <w:rFonts w:ascii="Aptos" w:hAnsi="Aptos"/>
      <w:color w:val="2B414E"/>
      <w:sz w:val="16"/>
    </w:rPr>
  </w:style>
  <w:style w:type="paragraph" w:customStyle="1" w:styleId="SmallPrint">
    <w:name w:val="SmallPrint"/>
    <w:rPr>
      <w:rFonts w:ascii="Aptos" w:hAnsi="Aptos"/>
      <w:color w:val="2B414E"/>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