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Aptos" w:hAnsi="Aptos"/>
          <w:b/>
          <w:color w:val="000000"/>
          <w:sz w:val="42"/>
        </w:rPr>
        <w:t>Surf Life Saving Natural Hazards Pilot Review Brief</w:t>
      </w:r>
    </w:p>
    <w:p>
      <w:pPr>
        <w:spacing w:after="240"/>
      </w:pPr>
      <w:r>
        <w:rPr>
          <w:rFonts w:ascii="Aptos" w:hAnsi="Aptos"/>
          <w:b/>
          <w:color w:val="177D83"/>
          <w:sz w:val="20"/>
        </w:rPr>
        <w:t>Dashboard v0.2 two site Bay of Plenty pilot  |  18 September 2026</w:t>
      </w:r>
    </w:p>
    <w:p>
      <w:pPr>
        <w:spacing w:after="120" w:line="259" w:lineRule="auto"/>
      </w:pPr>
      <w:r>
        <w:rPr>
          <w:rFonts w:ascii="Aptos" w:hAnsi="Aptos"/>
          <w:b w:val="0"/>
          <w:color w:val="000000"/>
          <w:sz w:val="19"/>
        </w:rPr>
        <w:t>Dashboard v0.2 brings verified point evidence for Mount Maunganui Lifeguard Service and Omanu SLSC into one comparable interface. The dashboard keeps each club's evidence separate, retains the councils' original classifications and does not convert a GIS result into a professional risk rating. No-hit, NoData and missing-source results remain unassessed and never become green.</w:t>
      </w:r>
    </w:p>
    <w:p>
      <w:pPr>
        <w:pStyle w:val="Heading1"/>
        <w:keepNext/>
        <w:spacing w:before="260" w:after="100"/>
      </w:pPr>
      <w:r>
        <w:rPr>
          <w:rFonts w:ascii="Aptos" w:hAnsi="Aptos"/>
          <w:b/>
          <w:color w:val="000000"/>
          <w:sz w:val="28"/>
        </w:rPr>
        <w:t>Verified pilot sites</w:t>
      </w:r>
    </w:p>
    <w:tbl>
      <w:tblPr>
        <w:tblW w:type="auto" w:w="0"/>
        <w:tblLayout w:type="fixed"/>
        <w:tblLook w:firstColumn="1" w:firstRow="1" w:lastColumn="0" w:lastRow="0" w:noHBand="0" w:noVBand="1" w:val="04A0"/>
        <w:tblBorders>
          <w:top w:val="single" w:sz="6" w:color="D9E1E5"/>
          <w:left w:val="single" w:sz="6" w:color="D9E1E5"/>
          <w:bottom w:val="single" w:sz="6" w:color="D9E1E5"/>
          <w:right w:val="single" w:sz="6" w:color="D9E1E5"/>
          <w:insideH w:val="single" w:sz="6" w:color="D9E1E5"/>
          <w:insideV w:val="single" w:sz="6" w:color="D9E1E5"/>
        </w:tblBorders>
      </w:tblPr>
      <w:tblGrid>
        <w:gridCol w:w="3427"/>
        <w:gridCol w:w="3427"/>
        <w:gridCol w:w="3427"/>
      </w:tblGrid>
      <w:tr>
        <w:tc>
          <w:tcPr>
            <w:tcW w:type="dxa" w:w="2448"/>
            <w:vAlign w:val="center"/>
            <w:tcMar>
              <w:top w:w="120" w:type="dxa"/>
              <w:start w:w="130" w:type="dxa"/>
              <w:bottom w:w="120" w:type="dxa"/>
              <w:end w:w="130" w:type="dxa"/>
            </w:tcMar>
            <w:shd w:fill="102C45"/>
          </w:tcPr>
          <w:p>
            <w:r>
              <w:rPr>
                <w:rFonts w:ascii="Aptos" w:hAnsi="Aptos"/>
                <w:b/>
                <w:color w:val="FFFFFF"/>
                <w:sz w:val="17"/>
              </w:rPr>
              <w:t>Club</w:t>
            </w:r>
          </w:p>
        </w:tc>
        <w:tc>
          <w:tcPr>
            <w:tcW w:type="dxa" w:w="2952"/>
            <w:vAlign w:val="center"/>
            <w:tcMar>
              <w:top w:w="120" w:type="dxa"/>
              <w:start w:w="130" w:type="dxa"/>
              <w:bottom w:w="120" w:type="dxa"/>
              <w:end w:w="130" w:type="dxa"/>
            </w:tcMar>
            <w:shd w:fill="102C45"/>
          </w:tcPr>
          <w:p>
            <w:r>
              <w:rPr>
                <w:rFonts w:ascii="Aptos" w:hAnsi="Aptos"/>
                <w:b/>
                <w:color w:val="FFFFFF"/>
                <w:sz w:val="17"/>
              </w:rPr>
              <w:t>Address and verified point</w:t>
            </w:r>
          </w:p>
        </w:tc>
        <w:tc>
          <w:tcPr>
            <w:tcW w:type="dxa" w:w="4752"/>
            <w:vAlign w:val="center"/>
            <w:tcMar>
              <w:top w:w="120" w:type="dxa"/>
              <w:start w:w="130" w:type="dxa"/>
              <w:bottom w:w="120" w:type="dxa"/>
              <w:end w:w="130" w:type="dxa"/>
            </w:tcMar>
            <w:shd w:fill="102C45"/>
          </w:tcPr>
          <w:p>
            <w:r>
              <w:rPr>
                <w:rFonts w:ascii="Aptos" w:hAnsi="Aptos"/>
                <w:b/>
                <w:color w:val="FFFFFF"/>
                <w:sz w:val="17"/>
              </w:rPr>
              <w:t>Location verification</w:t>
            </w:r>
          </w:p>
        </w:tc>
      </w:tr>
      <w:tr>
        <w:tc>
          <w:tcPr>
            <w:tcW w:type="dxa" w:w="2448"/>
            <w:vAlign w:val="center"/>
            <w:tcMar>
              <w:top w:w="120" w:type="dxa"/>
              <w:start w:w="130" w:type="dxa"/>
              <w:bottom w:w="120" w:type="dxa"/>
              <w:end w:w="130" w:type="dxa"/>
            </w:tcMar>
          </w:tcPr>
          <w:p>
            <w:pPr>
              <w:spacing w:after="0" w:line="240" w:lineRule="auto"/>
            </w:pPr>
            <w:r>
              <w:rPr>
                <w:rFonts w:ascii="Aptos" w:hAnsi="Aptos"/>
                <w:b w:val="0"/>
                <w:color w:val="000000"/>
                <w:sz w:val="17"/>
              </w:rPr>
              <w:t>Mount Maunganui Lifeguard Service</w:t>
            </w:r>
          </w:p>
        </w:tc>
        <w:tc>
          <w:tcPr>
            <w:tcW w:type="dxa" w:w="2952"/>
            <w:vAlign w:val="center"/>
            <w:tcMar>
              <w:top w:w="120" w:type="dxa"/>
              <w:start w:w="130" w:type="dxa"/>
              <w:bottom w:w="120" w:type="dxa"/>
              <w:end w:w="130" w:type="dxa"/>
            </w:tcMar>
          </w:tcPr>
          <w:p>
            <w:pPr>
              <w:spacing w:after="0" w:line="240" w:lineRule="auto"/>
            </w:pPr>
            <w:r>
              <w:rPr>
                <w:rFonts w:ascii="Aptos" w:hAnsi="Aptos"/>
                <w:b w:val="0"/>
                <w:color w:val="000000"/>
                <w:sz w:val="17"/>
              </w:rPr>
              <w:t>21 Adams Avenue</w:t>
              <w:br/>
              <w:t>-37.631147, 176.177011</w:t>
            </w:r>
          </w:p>
        </w:tc>
        <w:tc>
          <w:tcPr>
            <w:tcW w:type="dxa" w:w="4752"/>
            <w:vAlign w:val="center"/>
            <w:tcMar>
              <w:top w:w="120" w:type="dxa"/>
              <w:start w:w="130" w:type="dxa"/>
              <w:bottom w:w="120" w:type="dxa"/>
              <w:end w:w="130" w:type="dxa"/>
            </w:tcMar>
          </w:tcPr>
          <w:p>
            <w:pPr>
              <w:spacing w:after="0" w:line="240" w:lineRule="auto"/>
            </w:pPr>
            <w:r>
              <w:rPr>
                <w:rFonts w:ascii="Aptos" w:hAnsi="Aptos"/>
                <w:b w:val="0"/>
                <w:color w:val="000000"/>
                <w:sz w:val="17"/>
              </w:rPr>
              <w:t>Named clubhouse aligned in satellite imagery; TCC property service returns 21 Adams Avenue.</w:t>
            </w:r>
          </w:p>
        </w:tc>
      </w:tr>
      <w:tr>
        <w:tc>
          <w:tcPr>
            <w:tcW w:type="dxa" w:w="2448"/>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Omanu SLSC</w:t>
            </w:r>
          </w:p>
        </w:tc>
        <w:tc>
          <w:tcPr>
            <w:tcW w:type="dxa" w:w="2952"/>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15 Surf Road, Omanu, Mt Maunganui 3116</w:t>
              <w:br/>
              <w:t>-37.6588411, 176.2153694</w:t>
            </w:r>
          </w:p>
        </w:tc>
        <w:tc>
          <w:tcPr>
            <w:tcW w:type="dxa" w:w="4752"/>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Official club and SLSNZ address; mapped point is on the clubhouse in aerial imagery; TCC point query returns 15 Surf Road.</w:t>
            </w:r>
          </w:p>
        </w:tc>
      </w:tr>
    </w:tbl>
    <w:p>
      <w:pPr>
        <w:pStyle w:val="Heading1"/>
        <w:keepNext/>
        <w:spacing w:before="260" w:after="100"/>
      </w:pPr>
      <w:r>
        <w:rPr>
          <w:rFonts w:ascii="Aptos" w:hAnsi="Aptos"/>
          <w:b/>
          <w:color w:val="000000"/>
          <w:sz w:val="28"/>
        </w:rPr>
        <w:t>Evidence comparison</w:t>
      </w:r>
    </w:p>
    <w:tbl>
      <w:tblPr>
        <w:tblW w:type="auto" w:w="0"/>
        <w:tblLayout w:type="fixed"/>
        <w:tblLook w:firstColumn="1" w:firstRow="1" w:lastColumn="0" w:lastRow="0" w:noHBand="0" w:noVBand="1" w:val="04A0"/>
        <w:tblBorders>
          <w:top w:val="single" w:sz="6" w:color="D9E1E5"/>
          <w:left w:val="single" w:sz="6" w:color="D9E1E5"/>
          <w:bottom w:val="single" w:sz="6" w:color="D9E1E5"/>
          <w:right w:val="single" w:sz="6" w:color="D9E1E5"/>
          <w:insideH w:val="single" w:sz="6" w:color="D9E1E5"/>
          <w:insideV w:val="single" w:sz="6" w:color="D9E1E5"/>
        </w:tblBorders>
      </w:tblPr>
      <w:tblGrid>
        <w:gridCol w:w="3427"/>
        <w:gridCol w:w="3427"/>
        <w:gridCol w:w="3427"/>
      </w:tblGrid>
      <w:tr>
        <w:tc>
          <w:tcPr>
            <w:tcW w:type="dxa" w:w="1699"/>
            <w:vAlign w:val="center"/>
            <w:tcMar>
              <w:top w:w="120" w:type="dxa"/>
              <w:start w:w="130" w:type="dxa"/>
              <w:bottom w:w="120" w:type="dxa"/>
              <w:end w:w="130" w:type="dxa"/>
            </w:tcMar>
            <w:shd w:fill="102C45"/>
          </w:tcPr>
          <w:p>
            <w:r>
              <w:rPr>
                <w:rFonts w:ascii="Aptos" w:hAnsi="Aptos"/>
                <w:b/>
                <w:color w:val="FFFFFF"/>
                <w:sz w:val="17"/>
              </w:rPr>
              <w:t>Hazard</w:t>
            </w:r>
          </w:p>
        </w:tc>
        <w:tc>
          <w:tcPr>
            <w:tcW w:type="dxa" w:w="4248"/>
            <w:vAlign w:val="center"/>
            <w:tcMar>
              <w:top w:w="120" w:type="dxa"/>
              <w:start w:w="130" w:type="dxa"/>
              <w:bottom w:w="120" w:type="dxa"/>
              <w:end w:w="130" w:type="dxa"/>
            </w:tcMar>
            <w:shd w:fill="102C45"/>
          </w:tcPr>
          <w:p>
            <w:r>
              <w:rPr>
                <w:rFonts w:ascii="Aptos" w:hAnsi="Aptos"/>
                <w:b/>
                <w:color w:val="FFFFFF"/>
                <w:sz w:val="17"/>
              </w:rPr>
              <w:t>Mount Maunganui</w:t>
            </w:r>
          </w:p>
        </w:tc>
        <w:tc>
          <w:tcPr>
            <w:tcW w:type="dxa" w:w="4248"/>
            <w:vAlign w:val="center"/>
            <w:tcMar>
              <w:top w:w="120" w:type="dxa"/>
              <w:start w:w="130" w:type="dxa"/>
              <w:bottom w:w="120" w:type="dxa"/>
              <w:end w:w="130" w:type="dxa"/>
            </w:tcMar>
            <w:shd w:fill="102C45"/>
          </w:tcPr>
          <w:p>
            <w:r>
              <w:rPr>
                <w:rFonts w:ascii="Aptos" w:hAnsi="Aptos"/>
                <w:b/>
                <w:color w:val="FFFFFF"/>
                <w:sz w:val="17"/>
              </w:rPr>
              <w:t>Omanu</w:t>
            </w:r>
          </w:p>
        </w:tc>
      </w:tr>
      <w:tr>
        <w:tc>
          <w:tcPr>
            <w:tcW w:type="dxa" w:w="1699"/>
            <w:vAlign w:val="center"/>
            <w:tcMar>
              <w:top w:w="120" w:type="dxa"/>
              <w:start w:w="130" w:type="dxa"/>
              <w:bottom w:w="120" w:type="dxa"/>
              <w:end w:w="130" w:type="dxa"/>
            </w:tcMar>
          </w:tcPr>
          <w:p>
            <w:pPr>
              <w:spacing w:after="0" w:line="240" w:lineRule="auto"/>
            </w:pPr>
            <w:r>
              <w:rPr>
                <w:rFonts w:ascii="Aptos" w:hAnsi="Aptos"/>
                <w:b w:val="0"/>
                <w:color w:val="000000"/>
                <w:sz w:val="17"/>
              </w:rPr>
              <w:t>Flooding</w:t>
            </w:r>
          </w:p>
        </w:tc>
        <w:tc>
          <w:tcPr>
            <w:tcW w:type="dxa" w:w="4248"/>
            <w:vAlign w:val="center"/>
            <w:tcMar>
              <w:top w:w="120" w:type="dxa"/>
              <w:start w:w="130" w:type="dxa"/>
              <w:bottom w:w="120" w:type="dxa"/>
              <w:end w:w="130" w:type="dxa"/>
            </w:tcMar>
          </w:tcPr>
          <w:p>
            <w:pPr>
              <w:spacing w:after="0" w:line="240" w:lineRule="auto"/>
            </w:pPr>
            <w:r>
              <w:rPr>
                <w:rFonts w:ascii="Aptos" w:hAnsi="Aptos"/>
                <w:b w:val="0"/>
                <w:color w:val="000000"/>
                <w:sz w:val="17"/>
              </w:rPr>
              <w:t>TCC 1% AEP 2130 RCP8.5: no point hit. BOPRC historic flood: no point hit. Not cleared.</w:t>
            </w:r>
          </w:p>
        </w:tc>
        <w:tc>
          <w:tcPr>
            <w:tcW w:type="dxa" w:w="4248"/>
            <w:vAlign w:val="center"/>
            <w:tcMar>
              <w:top w:w="120" w:type="dxa"/>
              <w:start w:w="130" w:type="dxa"/>
              <w:bottom w:w="120" w:type="dxa"/>
              <w:end w:w="130" w:type="dxa"/>
            </w:tcMar>
          </w:tcPr>
          <w:p>
            <w:pPr>
              <w:spacing w:after="0" w:line="240" w:lineRule="auto"/>
            </w:pPr>
            <w:r>
              <w:rPr>
                <w:rFonts w:ascii="Aptos" w:hAnsi="Aptos"/>
                <w:b w:val="0"/>
                <w:color w:val="000000"/>
                <w:sz w:val="17"/>
              </w:rPr>
              <w:t>Same two no-hit results at the Omanu point. Not cleared.</w:t>
            </w:r>
          </w:p>
        </w:tc>
      </w:tr>
      <w:tr>
        <w:tc>
          <w:tcPr>
            <w:tcW w:type="dxa" w:w="1699"/>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Landslide / rockfall</w:t>
            </w:r>
          </w:p>
        </w:tc>
        <w:tc>
          <w:tcPr>
            <w:tcW w:type="dxa" w:w="4248"/>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TCC QLRA says landslide and rockfall risk remains at the lifeguard building. Both BOPRC rasters return NoData.</w:t>
            </w:r>
          </w:p>
        </w:tc>
        <w:tc>
          <w:tcPr>
            <w:tcW w:type="dxa" w:w="4248"/>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Both BOPRC susceptibility rasters return NoData. No site-specific document finding added.</w:t>
            </w:r>
          </w:p>
        </w:tc>
      </w:tr>
      <w:tr>
        <w:tc>
          <w:tcPr>
            <w:tcW w:type="dxa" w:w="1699"/>
            <w:vAlign w:val="center"/>
            <w:tcMar>
              <w:top w:w="120" w:type="dxa"/>
              <w:start w:w="130" w:type="dxa"/>
              <w:bottom w:w="120" w:type="dxa"/>
              <w:end w:w="130" w:type="dxa"/>
            </w:tcMar>
          </w:tcPr>
          <w:p>
            <w:pPr>
              <w:spacing w:after="0" w:line="240" w:lineRule="auto"/>
            </w:pPr>
            <w:r>
              <w:rPr>
                <w:rFonts w:ascii="Aptos" w:hAnsi="Aptos"/>
                <w:b w:val="0"/>
                <w:color w:val="000000"/>
                <w:sz w:val="17"/>
              </w:rPr>
              <w:t>Liquefaction</w:t>
            </w:r>
          </w:p>
        </w:tc>
        <w:tc>
          <w:tcPr>
            <w:tcW w:type="dxa" w:w="4248"/>
            <w:vAlign w:val="center"/>
            <w:tcMar>
              <w:top w:w="120" w:type="dxa"/>
              <w:start w:w="130" w:type="dxa"/>
              <w:bottom w:w="120" w:type="dxa"/>
              <w:end w:w="130" w:type="dxa"/>
            </w:tcMar>
          </w:tcPr>
          <w:p>
            <w:pPr>
              <w:spacing w:after="0" w:line="240" w:lineRule="auto"/>
            </w:pPr>
            <w:r>
              <w:rPr>
                <w:rFonts w:ascii="Aptos" w:hAnsi="Aptos"/>
                <w:b w:val="0"/>
                <w:color w:val="000000"/>
                <w:sz w:val="17"/>
              </w:rPr>
              <w:t>Level B: Possible, Active Foredunes, lateral spreading No, OBJECTID 1891. Level A: no point hit.</w:t>
            </w:r>
          </w:p>
        </w:tc>
        <w:tc>
          <w:tcPr>
            <w:tcW w:type="dxa" w:w="4248"/>
            <w:vAlign w:val="center"/>
            <w:tcMar>
              <w:top w:w="120" w:type="dxa"/>
              <w:start w:w="130" w:type="dxa"/>
              <w:bottom w:w="120" w:type="dxa"/>
              <w:end w:w="130" w:type="dxa"/>
            </w:tcMar>
          </w:tcPr>
          <w:p>
            <w:pPr>
              <w:spacing w:after="0" w:line="240" w:lineRule="auto"/>
            </w:pPr>
            <w:r>
              <w:rPr>
                <w:rFonts w:ascii="Aptos" w:hAnsi="Aptos"/>
                <w:b w:val="0"/>
                <w:color w:val="000000"/>
                <w:sz w:val="17"/>
              </w:rPr>
              <w:t>Level B: Unlikely, Active Foredunes, lateral spreading No, OBJECTID 1795. Level A: no point hit.</w:t>
            </w:r>
          </w:p>
        </w:tc>
      </w:tr>
      <w:tr>
        <w:tc>
          <w:tcPr>
            <w:tcW w:type="dxa" w:w="1699"/>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Tsunami</w:t>
            </w:r>
          </w:p>
        </w:tc>
        <w:tc>
          <w:tcPr>
            <w:tcW w:type="dxa" w:w="4248"/>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Evacuation Land; 2,500-year Yellow; 5 m Orange; 2 m no point hit.</w:t>
            </w:r>
          </w:p>
        </w:tc>
        <w:tc>
          <w:tcPr>
            <w:tcW w:type="dxa" w:w="4248"/>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Evacuation Land; 2,500-year Yellow; 5 m Orange; 2 m no point hit.</w:t>
            </w:r>
          </w:p>
        </w:tc>
      </w:tr>
      <w:tr>
        <w:tc>
          <w:tcPr>
            <w:tcW w:type="dxa" w:w="1699"/>
            <w:vAlign w:val="center"/>
            <w:tcMar>
              <w:top w:w="120" w:type="dxa"/>
              <w:start w:w="130" w:type="dxa"/>
              <w:bottom w:w="120" w:type="dxa"/>
              <w:end w:w="130" w:type="dxa"/>
            </w:tcMar>
          </w:tcPr>
          <w:p>
            <w:pPr>
              <w:spacing w:after="0" w:line="240" w:lineRule="auto"/>
            </w:pPr>
            <w:r>
              <w:rPr>
                <w:rFonts w:ascii="Aptos" w:hAnsi="Aptos"/>
                <w:b w:val="0"/>
                <w:color w:val="000000"/>
                <w:sz w:val="17"/>
              </w:rPr>
              <w:t>Coastal erosion</w:t>
            </w:r>
          </w:p>
        </w:tc>
        <w:tc>
          <w:tcPr>
            <w:tcW w:type="dxa" w:w="4248"/>
            <w:vAlign w:val="center"/>
            <w:tcMar>
              <w:top w:w="120" w:type="dxa"/>
              <w:start w:w="130" w:type="dxa"/>
              <w:bottom w:w="120" w:type="dxa"/>
              <w:end w:w="130" w:type="dxa"/>
            </w:tcMar>
          </w:tcPr>
          <w:p>
            <w:pPr>
              <w:spacing w:after="0" w:line="240" w:lineRule="auto"/>
            </w:pPr>
            <w:r>
              <w:rPr>
                <w:rFonts w:ascii="Aptos" w:hAnsi="Aptos"/>
                <w:b w:val="0"/>
                <w:color w:val="000000"/>
                <w:sz w:val="17"/>
              </w:rPr>
              <w:t>Source catalogue identified; scenario-specific point result not connected.</w:t>
            </w:r>
          </w:p>
        </w:tc>
        <w:tc>
          <w:tcPr>
            <w:tcW w:type="dxa" w:w="4248"/>
            <w:vAlign w:val="center"/>
            <w:tcMar>
              <w:top w:w="120" w:type="dxa"/>
              <w:start w:w="130" w:type="dxa"/>
              <w:bottom w:w="120" w:type="dxa"/>
              <w:end w:w="130" w:type="dxa"/>
            </w:tcMar>
          </w:tcPr>
          <w:p>
            <w:pPr>
              <w:spacing w:after="0" w:line="240" w:lineRule="auto"/>
            </w:pPr>
            <w:r>
              <w:rPr>
                <w:rFonts w:ascii="Aptos" w:hAnsi="Aptos"/>
                <w:b w:val="0"/>
                <w:color w:val="000000"/>
                <w:sz w:val="17"/>
              </w:rPr>
              <w:t>Source catalogue identified; scenario-specific point result not connected.</w:t>
            </w:r>
          </w:p>
        </w:tc>
      </w:tr>
      <w:tr>
        <w:tc>
          <w:tcPr>
            <w:tcW w:type="dxa" w:w="1699"/>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Coastal inundation</w:t>
            </w:r>
          </w:p>
        </w:tc>
        <w:tc>
          <w:tcPr>
            <w:tcW w:type="dxa" w:w="4248"/>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Source catalogue identified; scenario-specific point result not connected.</w:t>
            </w:r>
          </w:p>
        </w:tc>
        <w:tc>
          <w:tcPr>
            <w:tcW w:type="dxa" w:w="4248"/>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Source catalogue identified; scenario-specific point result not connected.</w:t>
            </w:r>
          </w:p>
        </w:tc>
      </w:tr>
      <w:tr>
        <w:tc>
          <w:tcPr>
            <w:tcW w:type="dxa" w:w="1699"/>
            <w:vAlign w:val="center"/>
            <w:tcMar>
              <w:top w:w="120" w:type="dxa"/>
              <w:start w:w="130" w:type="dxa"/>
              <w:bottom w:w="120" w:type="dxa"/>
              <w:end w:w="130" w:type="dxa"/>
            </w:tcMar>
          </w:tcPr>
          <w:p>
            <w:pPr>
              <w:spacing w:after="0" w:line="240" w:lineRule="auto"/>
            </w:pPr>
            <w:r>
              <w:rPr>
                <w:rFonts w:ascii="Aptos" w:hAnsi="Aptos"/>
                <w:b w:val="0"/>
                <w:color w:val="000000"/>
                <w:sz w:val="17"/>
              </w:rPr>
              <w:t>Active faults</w:t>
            </w:r>
          </w:p>
        </w:tc>
        <w:tc>
          <w:tcPr>
            <w:tcW w:type="dxa" w:w="4248"/>
            <w:vAlign w:val="center"/>
            <w:tcMar>
              <w:top w:w="120" w:type="dxa"/>
              <w:start w:w="130" w:type="dxa"/>
              <w:bottom w:w="120" w:type="dxa"/>
              <w:end w:w="130" w:type="dxa"/>
            </w:tcMar>
          </w:tcPr>
          <w:p>
            <w:pPr>
              <w:spacing w:after="0" w:line="240" w:lineRule="auto"/>
            </w:pPr>
            <w:r>
              <w:rPr>
                <w:rFonts w:ascii="Aptos" w:hAnsi="Aptos"/>
                <w:b w:val="0"/>
                <w:color w:val="000000"/>
                <w:sz w:val="17"/>
              </w:rPr>
              <w:t>No exact point hit in the 1:250,000 QMAP layer.</w:t>
            </w:r>
          </w:p>
        </w:tc>
        <w:tc>
          <w:tcPr>
            <w:tcW w:type="dxa" w:w="4248"/>
            <w:vAlign w:val="center"/>
            <w:tcMar>
              <w:top w:w="120" w:type="dxa"/>
              <w:start w:w="130" w:type="dxa"/>
              <w:bottom w:w="120" w:type="dxa"/>
              <w:end w:w="130" w:type="dxa"/>
            </w:tcMar>
          </w:tcPr>
          <w:p>
            <w:pPr>
              <w:spacing w:after="0" w:line="240" w:lineRule="auto"/>
            </w:pPr>
            <w:r>
              <w:rPr>
                <w:rFonts w:ascii="Aptos" w:hAnsi="Aptos"/>
                <w:b w:val="0"/>
                <w:color w:val="000000"/>
                <w:sz w:val="17"/>
              </w:rPr>
              <w:t>No exact point hit in the 1:250,000 QMAP layer.</w:t>
            </w:r>
          </w:p>
        </w:tc>
      </w:tr>
    </w:tbl>
    <w:p>
      <w:pPr>
        <w:pStyle w:val="Heading1"/>
        <w:keepNext/>
        <w:spacing w:before="260" w:after="100"/>
      </w:pPr>
      <w:r>
        <w:rPr>
          <w:rFonts w:ascii="Aptos" w:hAnsi="Aptos"/>
          <w:b/>
          <w:color w:val="000000"/>
          <w:sz w:val="28"/>
        </w:rPr>
        <w:t>Mount Maunganui evidence retained</w:t>
      </w:r>
    </w:p>
    <w:p>
      <w:pPr>
        <w:spacing w:after="120" w:line="259" w:lineRule="auto"/>
      </w:pPr>
      <w:r>
        <w:rPr>
          <w:rFonts w:ascii="Aptos" w:hAnsi="Aptos"/>
          <w:b w:val="0"/>
          <w:color w:val="000000"/>
          <w:sz w:val="19"/>
        </w:rPr>
        <w:t>The previously verified Mount findings have been preserved without re-querying or reclassification.</w:t>
      </w:r>
    </w:p>
    <w:p>
      <w:pPr>
        <w:pStyle w:val="ListBullet"/>
        <w:spacing w:after="70" w:line="252" w:lineRule="auto"/>
        <w:ind w:left="317" w:hanging="173"/>
      </w:pPr>
      <w:r>
        <w:rPr>
          <w:rFonts w:ascii="Aptos" w:hAnsi="Aptos"/>
          <w:b w:val="0"/>
          <w:color w:val="000000"/>
          <w:sz w:val="18"/>
        </w:rPr>
        <w:t>TCC 1% AEP 2130 RCP8.5 flood and BOPRC historic flood extent returned no point hit. These are unassessed findings, not clearance.</w:t>
      </w:r>
    </w:p>
    <w:p>
      <w:pPr>
        <w:pStyle w:val="ListBullet"/>
        <w:spacing w:after="70" w:line="252" w:lineRule="auto"/>
        <w:ind w:left="317" w:hanging="173"/>
      </w:pPr>
      <w:r>
        <w:rPr>
          <w:rFonts w:ascii="Aptos" w:hAnsi="Aptos"/>
          <w:b w:val="0"/>
          <w:color w:val="000000"/>
          <w:sz w:val="18"/>
        </w:rPr>
        <w:t>The point intersects the October 2025 BOPRC tsunami evacuation zone classified Land, OBJECTID 831.</w:t>
      </w:r>
    </w:p>
    <w:p>
      <w:pPr>
        <w:pStyle w:val="ListBullet"/>
        <w:spacing w:after="70" w:line="252" w:lineRule="auto"/>
        <w:ind w:left="317" w:hanging="173"/>
      </w:pPr>
      <w:r>
        <w:rPr>
          <w:rFonts w:ascii="Aptos" w:hAnsi="Aptos"/>
          <w:b w:val="0"/>
          <w:color w:val="000000"/>
          <w:sz w:val="18"/>
        </w:rPr>
        <w:t>The point intersects the 2,500-year ARI tsunami extent classified Yellow, OBJECTID 10, and the 5 m-above-MHWS extent classified Orange, OBJECTID 7. The 2 m scenario returned no point hit.</w:t>
      </w:r>
    </w:p>
    <w:p>
      <w:pPr>
        <w:pStyle w:val="ListBullet"/>
        <w:spacing w:after="70" w:line="252" w:lineRule="auto"/>
        <w:ind w:left="317" w:hanging="173"/>
      </w:pPr>
      <w:r>
        <w:rPr>
          <w:rFonts w:ascii="Aptos" w:hAnsi="Aptos"/>
          <w:b w:val="0"/>
          <w:color w:val="000000"/>
          <w:sz w:val="18"/>
        </w:rPr>
        <w:t>BOPRC Liquefaction Level B returned Possible on Active Foredunes, lateral spreading No, OBJECTID 1891. Level A returned no point hit.</w:t>
      </w:r>
    </w:p>
    <w:p>
      <w:pPr>
        <w:pStyle w:val="ListBullet"/>
        <w:spacing w:after="70" w:line="252" w:lineRule="auto"/>
        <w:ind w:left="317" w:hanging="173"/>
      </w:pPr>
      <w:r>
        <w:rPr>
          <w:rFonts w:ascii="Aptos" w:hAnsi="Aptos"/>
          <w:b w:val="0"/>
          <w:color w:val="000000"/>
          <w:sz w:val="18"/>
        </w:rPr>
        <w:t>Both BOPRC landslide susceptibility rasters returned NoData. Separately, TCC's 4 September 2026 QLRA update says landslide and rockfall risk remains at the lifeguard building and recommends more detailed rockfall modelling.</w:t>
      </w:r>
    </w:p>
    <w:p>
      <w:pPr>
        <w:pStyle w:val="ListBullet"/>
        <w:spacing w:after="70" w:line="252" w:lineRule="auto"/>
        <w:ind w:left="317" w:hanging="173"/>
      </w:pPr>
      <w:r>
        <w:rPr>
          <w:rFonts w:ascii="Aptos" w:hAnsi="Aptos"/>
          <w:b w:val="0"/>
          <w:color w:val="000000"/>
          <w:sz w:val="18"/>
        </w:rPr>
        <w:t>No active-fault line intersected the exact point in the 1:250,000 source. Coastal erosion and coastal inundation remain unassessed because reproducible scenario-specific point layers are not connected.</w:t>
      </w:r>
    </w:p>
    <w:p>
      <w:pPr>
        <w:pStyle w:val="Heading1"/>
        <w:keepNext/>
        <w:spacing w:before="260" w:after="100"/>
      </w:pPr>
      <w:r>
        <w:rPr>
          <w:rFonts w:ascii="Aptos" w:hAnsi="Aptos"/>
          <w:b/>
          <w:color w:val="000000"/>
          <w:sz w:val="28"/>
        </w:rPr>
        <w:t>Omanu evidence added</w:t>
      </w:r>
    </w:p>
    <w:p>
      <w:pPr>
        <w:spacing w:after="120" w:line="259" w:lineRule="auto"/>
      </w:pPr>
      <w:r>
        <w:rPr>
          <w:rFonts w:ascii="Aptos" w:hAnsi="Aptos"/>
          <w:b w:val="0"/>
          <w:color w:val="000000"/>
          <w:sz w:val="19"/>
        </w:rPr>
        <w:t>The Omanu batch used the verified clubhouse point -37.6588411, 176.2153694. Feature-layer queries used point intersects and retained every returned attribute; raster layers used identify at the same EPSG 4326 point. Council render exports were checked against the query results.</w:t>
      </w:r>
    </w:p>
    <w:p>
      <w:pPr>
        <w:pStyle w:val="ListBullet"/>
        <w:spacing w:after="70" w:line="252" w:lineRule="auto"/>
        <w:ind w:left="317" w:hanging="173"/>
      </w:pPr>
      <w:r>
        <w:rPr>
          <w:rFonts w:ascii="Aptos" w:hAnsi="Aptos"/>
          <w:b w:val="0"/>
          <w:color w:val="000000"/>
          <w:sz w:val="18"/>
        </w:rPr>
        <w:t>TCC 1% AEP 2130 RCP8.5 flood returned no point hit. BOPRC historic flood extent also returned no point hit. Neither result is a safety finding.</w:t>
      </w:r>
    </w:p>
    <w:p>
      <w:pPr>
        <w:pStyle w:val="ListBullet"/>
        <w:spacing w:after="70" w:line="252" w:lineRule="auto"/>
        <w:ind w:left="317" w:hanging="173"/>
      </w:pPr>
      <w:r>
        <w:rPr>
          <w:rFonts w:ascii="Aptos" w:hAnsi="Aptos"/>
          <w:b w:val="0"/>
          <w:color w:val="000000"/>
          <w:sz w:val="18"/>
        </w:rPr>
        <w:t>BOPRC tsunami evacuation returned Land, OBJECTID 831. The 2,500-year scenario returned Yellow, OBJECTID 10. The 5 m-above-MHWS scenario returned Orange, OBJECTID 7. The 2 m scenario returned no point hit.</w:t>
      </w:r>
    </w:p>
    <w:p>
      <w:pPr>
        <w:pStyle w:val="ListBullet"/>
        <w:spacing w:after="70" w:line="252" w:lineRule="auto"/>
        <w:ind w:left="317" w:hanging="173"/>
      </w:pPr>
      <w:r>
        <w:rPr>
          <w:rFonts w:ascii="Aptos" w:hAnsi="Aptos"/>
          <w:b w:val="0"/>
          <w:color w:val="000000"/>
          <w:sz w:val="18"/>
        </w:rPr>
        <w:t>BOPRC Liquefaction Level B returned Unlikely on Active Foredunes, lateral spreading No, OBJECTID 1795. That published classification is retained exactly and is not treated as a professional green rating. Level A returned no point hit.</w:t>
      </w:r>
    </w:p>
    <w:p>
      <w:pPr>
        <w:pStyle w:val="ListBullet"/>
        <w:spacing w:after="70" w:line="252" w:lineRule="auto"/>
        <w:ind w:left="317" w:hanging="173"/>
      </w:pPr>
      <w:r>
        <w:rPr>
          <w:rFonts w:ascii="Aptos" w:hAnsi="Aptos"/>
          <w:b w:val="0"/>
          <w:color w:val="000000"/>
          <w:sz w:val="18"/>
        </w:rPr>
        <w:t>BOPRC rainfall and earthquake landslide susceptibility rasters both returned NoData. The earthquake layer description excludes Tauranga City and Whakatane landslide risk areas.</w:t>
      </w:r>
    </w:p>
    <w:p>
      <w:pPr>
        <w:pStyle w:val="ListBullet"/>
        <w:spacing w:after="70" w:line="252" w:lineRule="auto"/>
        <w:ind w:left="317" w:hanging="173"/>
      </w:pPr>
      <w:r>
        <w:rPr>
          <w:rFonts w:ascii="Aptos" w:hAnsi="Aptos"/>
          <w:b w:val="0"/>
          <w:color w:val="000000"/>
          <w:sz w:val="18"/>
        </w:rPr>
        <w:t>No active-fault line intersected the exact point in the 1:250,000 source. Coastal erosion and coastal inundation remain unassessed because reproducible scenario-specific point layers are not connected.</w:t>
      </w:r>
    </w:p>
    <w:p>
      <w:pPr>
        <w:pStyle w:val="Heading1"/>
        <w:keepNext/>
        <w:spacing w:before="260" w:after="100"/>
      </w:pPr>
      <w:r>
        <w:rPr>
          <w:rFonts w:ascii="Aptos" w:hAnsi="Aptos"/>
          <w:b/>
          <w:color w:val="000000"/>
          <w:sz w:val="28"/>
        </w:rPr>
        <w:t>Dashboard behaviour</w:t>
      </w:r>
    </w:p>
    <w:p>
      <w:pPr>
        <w:pStyle w:val="ListBullet"/>
        <w:spacing w:after="70" w:line="252" w:lineRule="auto"/>
        <w:ind w:left="317" w:hanging="173"/>
      </w:pPr>
      <w:r>
        <w:rPr>
          <w:rFonts w:ascii="Aptos" w:hAnsi="Aptos"/>
          <w:b w:val="0"/>
          <w:color w:val="000000"/>
          <w:sz w:val="18"/>
        </w:rPr>
        <w:t>Navigation follows Region to Club to Hazard. Councils and GNS appear only as evidence sources.</w:t>
      </w:r>
    </w:p>
    <w:p>
      <w:pPr>
        <w:pStyle w:val="ListBullet"/>
        <w:spacing w:after="70" w:line="252" w:lineRule="auto"/>
        <w:ind w:left="317" w:hanging="173"/>
      </w:pPr>
      <w:r>
        <w:rPr>
          <w:rFonts w:ascii="Aptos" w:hAnsi="Aptos"/>
          <w:b w:val="0"/>
          <w:color w:val="000000"/>
          <w:sz w:val="18"/>
        </w:rPr>
        <w:t>Changing club moves the single selected marker, recentres the map and loads only that club's site summary, hazard states and evidence records.</w:t>
      </w:r>
    </w:p>
    <w:p>
      <w:pPr>
        <w:pStyle w:val="ListBullet"/>
        <w:spacing w:after="70" w:line="252" w:lineRule="auto"/>
        <w:ind w:left="317" w:hanging="173"/>
      </w:pPr>
      <w:r>
        <w:rPr>
          <w:rFonts w:ascii="Aptos" w:hAnsi="Aptos"/>
          <w:b w:val="0"/>
          <w:color w:val="000000"/>
          <w:sz w:val="18"/>
        </w:rPr>
        <w:t>Map and Aerial basemaps are independent of council hazard overlays. Selecting a hazard opens its evidence and turns on the relevant connected layers.</w:t>
      </w:r>
    </w:p>
    <w:p>
      <w:pPr>
        <w:pStyle w:val="ListBullet"/>
        <w:spacing w:after="70" w:line="252" w:lineRule="auto"/>
        <w:ind w:left="317" w:hanging="173"/>
      </w:pPr>
      <w:r>
        <w:rPr>
          <w:rFonts w:ascii="Aptos" w:hAnsi="Aptos"/>
          <w:b w:val="0"/>
          <w:color w:val="000000"/>
          <w:sz w:val="18"/>
        </w:rPr>
        <w:t>Technical fields sit behind Evidence details so the first view remains simple. Evidence export preserves the selected club's complete embedded record.</w:t>
      </w:r>
    </w:p>
    <w:p>
      <w:pPr>
        <w:pStyle w:val="Heading1"/>
        <w:keepNext/>
        <w:spacing w:before="260" w:after="100"/>
      </w:pPr>
      <w:r>
        <w:rPr>
          <w:rFonts w:ascii="Aptos" w:hAnsi="Aptos"/>
          <w:b/>
          <w:color w:val="000000"/>
          <w:sz w:val="28"/>
        </w:rPr>
        <w:t>Method and source control</w:t>
      </w:r>
    </w:p>
    <w:p>
      <w:pPr>
        <w:spacing w:after="120" w:line="259" w:lineRule="auto"/>
      </w:pPr>
      <w:r>
        <w:rPr>
          <w:rFonts w:ascii="Aptos" w:hAnsi="Aptos"/>
          <w:b w:val="0"/>
          <w:color w:val="000000"/>
          <w:sz w:val="19"/>
        </w:rPr>
        <w:t>The pilot is a point-first evidence aggregation tool. It brings official source observations together for review; it does not perform a professional risk assessment, prove that a hazard is absent or replace emergency-management advice.</w:t>
      </w:r>
    </w:p>
    <w:tbl>
      <w:tblPr>
        <w:tblW w:type="auto" w:w="0"/>
        <w:tblLayout w:type="fixed"/>
        <w:tblLook w:firstColumn="1" w:firstRow="1" w:lastColumn="0" w:lastRow="0" w:noHBand="0" w:noVBand="1" w:val="04A0"/>
        <w:tblBorders>
          <w:top w:val="single" w:sz="6" w:color="D9E1E5"/>
          <w:left w:val="single" w:sz="6" w:color="D9E1E5"/>
          <w:bottom w:val="single" w:sz="6" w:color="D9E1E5"/>
          <w:right w:val="single" w:sz="6" w:color="D9E1E5"/>
          <w:insideH w:val="single" w:sz="6" w:color="D9E1E5"/>
          <w:insideV w:val="single" w:sz="6" w:color="D9E1E5"/>
        </w:tblBorders>
      </w:tblPr>
      <w:tblGrid>
        <w:gridCol w:w="5141"/>
        <w:gridCol w:w="5141"/>
      </w:tblGrid>
      <w:tr>
        <w:tc>
          <w:tcPr>
            <w:tcW w:type="dxa" w:w="2088"/>
            <w:vAlign w:val="center"/>
            <w:tcMar>
              <w:top w:w="120" w:type="dxa"/>
              <w:start w:w="130" w:type="dxa"/>
              <w:bottom w:w="120" w:type="dxa"/>
              <w:end w:w="130" w:type="dxa"/>
            </w:tcMar>
            <w:shd w:fill="102C45"/>
          </w:tcPr>
          <w:p>
            <w:r>
              <w:rPr>
                <w:rFonts w:ascii="Aptos" w:hAnsi="Aptos"/>
                <w:b/>
                <w:color w:val="FFFFFF"/>
                <w:sz w:val="17"/>
              </w:rPr>
              <w:t>Control</w:t>
            </w:r>
          </w:p>
        </w:tc>
        <w:tc>
          <w:tcPr>
            <w:tcW w:type="dxa" w:w="8093"/>
            <w:vAlign w:val="center"/>
            <w:tcMar>
              <w:top w:w="120" w:type="dxa"/>
              <w:start w:w="130" w:type="dxa"/>
              <w:bottom w:w="120" w:type="dxa"/>
              <w:end w:w="130" w:type="dxa"/>
            </w:tcMar>
            <w:shd w:fill="102C45"/>
          </w:tcPr>
          <w:p>
            <w:r>
              <w:rPr>
                <w:rFonts w:ascii="Aptos" w:hAnsi="Aptos"/>
                <w:b/>
                <w:color w:val="FFFFFF"/>
                <w:sz w:val="17"/>
              </w:rPr>
              <w:t>Applied approach</w:t>
            </w:r>
          </w:p>
        </w:tc>
      </w:tr>
      <w:tr>
        <w:tc>
          <w:tcPr>
            <w:tcW w:type="dxa" w:w="2088"/>
            <w:vAlign w:val="center"/>
            <w:tcMar>
              <w:top w:w="120" w:type="dxa"/>
              <w:start w:w="130" w:type="dxa"/>
              <w:bottom w:w="120" w:type="dxa"/>
              <w:end w:w="130" w:type="dxa"/>
            </w:tcMar>
          </w:tcPr>
          <w:p>
            <w:pPr>
              <w:spacing w:after="0" w:line="240" w:lineRule="auto"/>
            </w:pPr>
            <w:r>
              <w:rPr>
                <w:rFonts w:ascii="Aptos" w:hAnsi="Aptos"/>
                <w:b w:val="0"/>
                <w:color w:val="000000"/>
                <w:sz w:val="17"/>
              </w:rPr>
              <w:t>Geometry</w:t>
            </w:r>
          </w:p>
        </w:tc>
        <w:tc>
          <w:tcPr>
            <w:tcW w:type="dxa" w:w="8093"/>
            <w:vAlign w:val="center"/>
            <w:tcMar>
              <w:top w:w="120" w:type="dxa"/>
              <w:start w:w="130" w:type="dxa"/>
              <w:bottom w:w="120" w:type="dxa"/>
              <w:end w:w="130" w:type="dxa"/>
            </w:tcMar>
          </w:tcPr>
          <w:p>
            <w:pPr>
              <w:spacing w:after="0" w:line="240" w:lineRule="auto"/>
            </w:pPr>
            <w:r>
              <w:rPr>
                <w:rFonts w:ascii="Aptos" w:hAnsi="Aptos"/>
                <w:b w:val="0"/>
                <w:color w:val="000000"/>
                <w:sz w:val="17"/>
              </w:rPr>
              <w:t>Verified named clubhouse points in EPSG:4326. Building, property and lease boundaries are deliberately deferred.</w:t>
            </w:r>
          </w:p>
        </w:tc>
      </w:tr>
      <w:tr>
        <w:tc>
          <w:tcPr>
            <w:tcW w:type="dxa" w:w="2088"/>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Feature layers</w:t>
            </w:r>
          </w:p>
        </w:tc>
        <w:tc>
          <w:tcPr>
            <w:tcW w:type="dxa" w:w="8093"/>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ArcGIS REST spatial intersects with where 1=1, outFields *, returnGeometry false.</w:t>
            </w:r>
          </w:p>
        </w:tc>
      </w:tr>
      <w:tr>
        <w:tc>
          <w:tcPr>
            <w:tcW w:type="dxa" w:w="2088"/>
            <w:vAlign w:val="center"/>
            <w:tcMar>
              <w:top w:w="120" w:type="dxa"/>
              <w:start w:w="130" w:type="dxa"/>
              <w:bottom w:w="120" w:type="dxa"/>
              <w:end w:w="130" w:type="dxa"/>
            </w:tcMar>
          </w:tcPr>
          <w:p>
            <w:pPr>
              <w:spacing w:after="0" w:line="240" w:lineRule="auto"/>
            </w:pPr>
            <w:r>
              <w:rPr>
                <w:rFonts w:ascii="Aptos" w:hAnsi="Aptos"/>
                <w:b w:val="0"/>
                <w:color w:val="000000"/>
                <w:sz w:val="17"/>
              </w:rPr>
              <w:t>Raster layers</w:t>
            </w:r>
          </w:p>
        </w:tc>
        <w:tc>
          <w:tcPr>
            <w:tcW w:type="dxa" w:w="8093"/>
            <w:vAlign w:val="center"/>
            <w:tcMar>
              <w:top w:w="120" w:type="dxa"/>
              <w:start w:w="130" w:type="dxa"/>
              <w:bottom w:w="120" w:type="dxa"/>
              <w:end w:w="130" w:type="dxa"/>
            </w:tcMar>
          </w:tcPr>
          <w:p>
            <w:pPr>
              <w:spacing w:after="0" w:line="240" w:lineRule="auto"/>
            </w:pPr>
            <w:r>
              <w:rPr>
                <w:rFonts w:ascii="Aptos" w:hAnsi="Aptos"/>
                <w:b w:val="0"/>
                <w:color w:val="000000"/>
                <w:sz w:val="17"/>
              </w:rPr>
              <w:t>ArcGIS identify at the same point; NoData retained as unassessed.</w:t>
            </w:r>
          </w:p>
        </w:tc>
      </w:tr>
      <w:tr>
        <w:tc>
          <w:tcPr>
            <w:tcW w:type="dxa" w:w="2088"/>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Cross-check</w:t>
            </w:r>
          </w:p>
        </w:tc>
        <w:tc>
          <w:tcPr>
            <w:tcW w:type="dxa" w:w="8093"/>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Council map-service renders checked at the point alongside the REST response.</w:t>
            </w:r>
          </w:p>
        </w:tc>
      </w:tr>
      <w:tr>
        <w:tc>
          <w:tcPr>
            <w:tcW w:type="dxa" w:w="2088"/>
            <w:vAlign w:val="center"/>
            <w:tcMar>
              <w:top w:w="120" w:type="dxa"/>
              <w:start w:w="130" w:type="dxa"/>
              <w:bottom w:w="120" w:type="dxa"/>
              <w:end w:w="130" w:type="dxa"/>
            </w:tcMar>
          </w:tcPr>
          <w:p>
            <w:pPr>
              <w:spacing w:after="0" w:line="240" w:lineRule="auto"/>
            </w:pPr>
            <w:r>
              <w:rPr>
                <w:rFonts w:ascii="Aptos" w:hAnsi="Aptos"/>
                <w:b w:val="0"/>
                <w:color w:val="000000"/>
                <w:sz w:val="17"/>
              </w:rPr>
              <w:t>Classification</w:t>
            </w:r>
          </w:p>
        </w:tc>
        <w:tc>
          <w:tcPr>
            <w:tcW w:type="dxa" w:w="8093"/>
            <w:vAlign w:val="center"/>
            <w:tcMar>
              <w:top w:w="120" w:type="dxa"/>
              <w:start w:w="130" w:type="dxa"/>
              <w:bottom w:w="120" w:type="dxa"/>
              <w:end w:w="130" w:type="dxa"/>
            </w:tcMar>
          </w:tcPr>
          <w:p>
            <w:pPr>
              <w:spacing w:after="0" w:line="240" w:lineRule="auto"/>
            </w:pPr>
            <w:r>
              <w:rPr>
                <w:rFonts w:ascii="Aptos" w:hAnsi="Aptos"/>
                <w:b w:val="0"/>
                <w:color w:val="000000"/>
                <w:sz w:val="17"/>
              </w:rPr>
              <w:t>Original returned class and attributes retained. No RAG conversion.</w:t>
            </w:r>
          </w:p>
        </w:tc>
      </w:tr>
      <w:tr>
        <w:tc>
          <w:tcPr>
            <w:tcW w:type="dxa" w:w="2088"/>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Basemaps</w:t>
            </w:r>
          </w:p>
        </w:tc>
        <w:tc>
          <w:tcPr>
            <w:tcW w:type="dxa" w:w="8093"/>
            <w:vAlign w:val="center"/>
            <w:tcMar>
              <w:top w:w="120" w:type="dxa"/>
              <w:start w:w="130" w:type="dxa"/>
              <w:bottom w:w="120" w:type="dxa"/>
              <w:end w:w="130" w:type="dxa"/>
            </w:tcMar>
            <w:shd w:fill="F4F7F9"/>
          </w:tcPr>
          <w:p>
            <w:pPr>
              <w:spacing w:after="0" w:line="240" w:lineRule="auto"/>
            </w:pPr>
            <w:r>
              <w:rPr>
                <w:rFonts w:ascii="Aptos" w:hAnsi="Aptos"/>
                <w:b w:val="0"/>
                <w:color w:val="000000"/>
                <w:sz w:val="17"/>
              </w:rPr>
              <w:t>Policy-compliant OpenStreetMap Standard and Esri World Imagery with visible attribution.</w:t>
            </w:r>
          </w:p>
        </w:tc>
      </w:tr>
      <w:tr>
        <w:tc>
          <w:tcPr>
            <w:tcW w:type="dxa" w:w="2088"/>
            <w:vAlign w:val="center"/>
            <w:tcMar>
              <w:top w:w="120" w:type="dxa"/>
              <w:start w:w="130" w:type="dxa"/>
              <w:bottom w:w="120" w:type="dxa"/>
              <w:end w:w="130" w:type="dxa"/>
            </w:tcMar>
          </w:tcPr>
          <w:p>
            <w:pPr>
              <w:spacing w:after="0" w:line="240" w:lineRule="auto"/>
            </w:pPr>
            <w:r>
              <w:rPr>
                <w:rFonts w:ascii="Aptos" w:hAnsi="Aptos"/>
                <w:b w:val="0"/>
                <w:color w:val="000000"/>
                <w:sz w:val="17"/>
              </w:rPr>
              <w:t>Evidence date</w:t>
            </w:r>
          </w:p>
        </w:tc>
        <w:tc>
          <w:tcPr>
            <w:tcW w:type="dxa" w:w="8093"/>
            <w:vAlign w:val="center"/>
            <w:tcMar>
              <w:top w:w="120" w:type="dxa"/>
              <w:start w:w="130" w:type="dxa"/>
              <w:bottom w:w="120" w:type="dxa"/>
              <w:end w:w="130" w:type="dxa"/>
            </w:tcMar>
          </w:tcPr>
          <w:p>
            <w:pPr>
              <w:spacing w:after="0" w:line="240" w:lineRule="auto"/>
            </w:pPr>
            <w:r>
              <w:rPr>
                <w:rFonts w:ascii="Aptos" w:hAnsi="Aptos"/>
                <w:b w:val="0"/>
                <w:color w:val="000000"/>
                <w:sz w:val="17"/>
              </w:rPr>
              <w:t>Mount query batch 17 September 2026 UTC; Omanu query batch 18 September 2026 UTC. Both reviewed 18 September 2026 NZST.</w:t>
            </w:r>
          </w:p>
        </w:tc>
      </w:tr>
    </w:tbl>
    <w:p>
      <w:pPr>
        <w:pStyle w:val="Heading1"/>
        <w:keepNext/>
        <w:spacing w:before="260" w:after="100"/>
      </w:pPr>
      <w:r>
        <w:rPr>
          <w:rFonts w:ascii="Aptos" w:hAnsi="Aptos"/>
          <w:b/>
          <w:color w:val="000000"/>
          <w:sz w:val="28"/>
        </w:rPr>
        <w:t>Source register</w:t>
      </w:r>
    </w:p>
    <w:p>
      <w:pPr>
        <w:pStyle w:val="ListBullet"/>
        <w:spacing w:after="70" w:line="252" w:lineRule="auto"/>
        <w:ind w:left="317" w:hanging="173"/>
      </w:pPr>
      <w:r>
        <w:rPr>
          <w:rFonts w:ascii="Aptos" w:hAnsi="Aptos"/>
          <w:b w:val="0"/>
          <w:color w:val="000000"/>
          <w:sz w:val="18"/>
        </w:rPr>
        <w:t>Omanu official club: https://omanubeach.co.nz/</w:t>
      </w:r>
    </w:p>
    <w:p>
      <w:pPr>
        <w:pStyle w:val="ListBullet"/>
        <w:spacing w:after="70" w:line="252" w:lineRule="auto"/>
        <w:ind w:left="317" w:hanging="173"/>
      </w:pPr>
      <w:r>
        <w:rPr>
          <w:rFonts w:ascii="Aptos" w:hAnsi="Aptos"/>
          <w:b w:val="0"/>
          <w:color w:val="000000"/>
          <w:sz w:val="18"/>
        </w:rPr>
        <w:t>Surf Life Saving New Zealand club directory: https://www.surflifesaving.org.nz/</w:t>
      </w:r>
    </w:p>
    <w:p>
      <w:pPr>
        <w:pStyle w:val="ListBullet"/>
        <w:spacing w:after="70" w:line="252" w:lineRule="auto"/>
        <w:ind w:left="317" w:hanging="173"/>
      </w:pPr>
      <w:r>
        <w:rPr>
          <w:rFonts w:ascii="Aptos" w:hAnsi="Aptos"/>
          <w:b w:val="0"/>
          <w:color w:val="000000"/>
          <w:sz w:val="18"/>
        </w:rPr>
        <w:t>TCC property service: https://cemeteryaws.tauranga.govt.nz/server/rest/services/ePlan/ePlan_RoadPropertySearch/MapServer/1</w:t>
      </w:r>
    </w:p>
    <w:p>
      <w:pPr>
        <w:pStyle w:val="ListBullet"/>
        <w:spacing w:after="70" w:line="252" w:lineRule="auto"/>
        <w:ind w:left="317" w:hanging="173"/>
      </w:pPr>
      <w:r>
        <w:rPr>
          <w:rFonts w:ascii="Aptos" w:hAnsi="Aptos"/>
          <w:b w:val="0"/>
          <w:color w:val="000000"/>
          <w:sz w:val="18"/>
        </w:rPr>
        <w:t>TCC natural hazards service: https://cemeteryaws.tauranga.govt.nz/server/rest/services/ePlan/ePlan_NaturalHazards/MapServer/1</w:t>
      </w:r>
    </w:p>
    <w:p>
      <w:pPr>
        <w:pStyle w:val="ListBullet"/>
        <w:spacing w:after="70" w:line="252" w:lineRule="auto"/>
        <w:ind w:left="317" w:hanging="173"/>
      </w:pPr>
      <w:r>
        <w:rPr>
          <w:rFonts w:ascii="Aptos" w:hAnsi="Aptos"/>
          <w:b w:val="0"/>
          <w:color w:val="000000"/>
          <w:sz w:val="18"/>
        </w:rPr>
        <w:t>BOPRC Natural Hazards service: https://gis.boprc.govt.nz/server2/rest/services/BayOfPlentyMaps/Natural_Hazards/MapServer</w:t>
      </w:r>
    </w:p>
    <w:p>
      <w:pPr>
        <w:pStyle w:val="ListBullet"/>
        <w:spacing w:after="70" w:line="252" w:lineRule="auto"/>
        <w:ind w:left="317" w:hanging="173"/>
      </w:pPr>
      <w:r>
        <w:rPr>
          <w:rFonts w:ascii="Aptos" w:hAnsi="Aptos"/>
          <w:b w:val="0"/>
          <w:color w:val="000000"/>
          <w:sz w:val="18"/>
        </w:rPr>
        <w:t>BOPRC landslide service: https://gis.boprc.govt.nz/image/rest/services/Environment/Landslide_Susceptibility_Rainfall_and_Earthquake/MapServer</w:t>
      </w:r>
    </w:p>
    <w:p>
      <w:pPr>
        <w:pStyle w:val="ListBullet"/>
        <w:spacing w:after="70" w:line="252" w:lineRule="auto"/>
        <w:ind w:left="317" w:hanging="173"/>
      </w:pPr>
      <w:r>
        <w:rPr>
          <w:rFonts w:ascii="Aptos" w:hAnsi="Aptos"/>
          <w:b w:val="0"/>
          <w:color w:val="000000"/>
          <w:sz w:val="18"/>
        </w:rPr>
        <w:t>BOPRC coastal catalogue: https://gis.boprc.govt.nz/Geocortex/Essentials/REST/sites/Catalogue/map/mapservices/179/layers</w:t>
      </w:r>
    </w:p>
    <w:p>
      <w:pPr>
        <w:pStyle w:val="ListBullet"/>
        <w:spacing w:after="70" w:line="252" w:lineRule="auto"/>
        <w:ind w:left="317" w:hanging="173"/>
      </w:pPr>
      <w:r>
        <w:rPr>
          <w:rFonts w:ascii="Aptos" w:hAnsi="Aptos"/>
          <w:b w:val="0"/>
          <w:color w:val="000000"/>
          <w:sz w:val="18"/>
        </w:rPr>
        <w:t>TCC Mauao QLRA update: https://newsbeat.tauranga.govt.nz/news-article/artmid/24836/articleid/15909/landslide-risk-assessment-provides-important-next-step-in-mauao-recovery</w:t>
      </w:r>
    </w:p>
    <w:p>
      <w:pPr>
        <w:pStyle w:val="Heading1"/>
        <w:keepNext/>
        <w:spacing w:before="260" w:after="100"/>
      </w:pPr>
      <w:r>
        <w:rPr>
          <w:rFonts w:ascii="Aptos" w:hAnsi="Aptos"/>
          <w:b/>
          <w:color w:val="000000"/>
          <w:sz w:val="28"/>
        </w:rPr>
        <w:t>Review actions</w:t>
      </w:r>
    </w:p>
    <w:p>
      <w:pPr>
        <w:pStyle w:val="ListBullet"/>
        <w:spacing w:after="70" w:line="252" w:lineRule="auto"/>
        <w:ind w:left="317" w:hanging="173"/>
      </w:pPr>
      <w:r>
        <w:rPr>
          <w:rFonts w:ascii="Aptos" w:hAnsi="Aptos"/>
          <w:b w:val="0"/>
          <w:color w:val="000000"/>
          <w:sz w:val="18"/>
        </w:rPr>
        <w:t>Lee's company to define configurable thresholds, consequences, rating methodology and approval controls.</w:t>
      </w:r>
    </w:p>
    <w:p>
      <w:pPr>
        <w:pStyle w:val="ListBullet"/>
        <w:spacing w:after="70" w:line="252" w:lineRule="auto"/>
        <w:ind w:left="317" w:hanging="173"/>
      </w:pPr>
      <w:r>
        <w:rPr>
          <w:rFonts w:ascii="Aptos" w:hAnsi="Aptos"/>
          <w:b w:val="0"/>
          <w:color w:val="000000"/>
          <w:sz w:val="18"/>
        </w:rPr>
        <w:t>Connect reproducible scenario-specific coastal erosion and coastal inundation layers.</w:t>
      </w:r>
    </w:p>
    <w:p>
      <w:pPr>
        <w:pStyle w:val="ListBullet"/>
        <w:spacing w:after="70" w:line="252" w:lineRule="auto"/>
        <w:ind w:left="317" w:hanging="173"/>
      </w:pPr>
      <w:r>
        <w:rPr>
          <w:rFonts w:ascii="Aptos" w:hAnsi="Aptos"/>
          <w:b w:val="0"/>
          <w:color w:val="000000"/>
          <w:sz w:val="18"/>
        </w:rPr>
        <w:t>Confirm commercial reuse and redistribution rights with TCC, BOPRC and relevant GNS rights holders before client-facing geometry reproduction.</w:t>
      </w:r>
    </w:p>
    <w:p>
      <w:pPr>
        <w:pStyle w:val="ListBullet"/>
        <w:spacing w:after="70" w:line="252" w:lineRule="auto"/>
        <w:ind w:left="317" w:hanging="173"/>
      </w:pPr>
      <w:r>
        <w:rPr>
          <w:rFonts w:ascii="Aptos" w:hAnsi="Aptos"/>
          <w:b w:val="0"/>
          <w:color w:val="000000"/>
          <w:sz w:val="18"/>
        </w:rPr>
        <w:t>Use the two-site pilot for interface review before extending to the next clubs. Property and lease boundaries can wait.</w:t>
      </w:r>
    </w:p>
    <w:sectPr w:rsidR="00FC693F" w:rsidRPr="0006063C" w:rsidSect="00034616">
      <w:footerReference w:type="default" r:id="rId9"/>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7786"/>
        <w:sz w:val="16"/>
      </w:rPr>
      <w:t>Valence | SLS Natural Hazards Pilot | Dashboard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